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widowControl w:val="0"/>
        <w:tabs>
          <w:tab w:val="center" w:pos="4153"/>
          <w:tab w:val="left" w:pos="7410"/>
        </w:tabs>
        <w:snapToGrid w:val="0"/>
        <w:jc w:val="center"/>
        <w:rPr>
          <w:rFonts w:hint="eastAsia" w:ascii="黑体" w:eastAsia="黑体"/>
          <w:sz w:val="32"/>
          <w:lang w:eastAsia="zh-CN"/>
        </w:rPr>
      </w:pPr>
    </w:p>
    <w:p>
      <w:pPr>
        <w:pStyle w:val="4"/>
        <w:keepNext w:val="0"/>
        <w:keepLines w:val="0"/>
        <w:pageBreakBefore w:val="0"/>
        <w:widowControl w:val="0"/>
        <w:tabs>
          <w:tab w:val="center" w:pos="4153"/>
          <w:tab w:val="left" w:pos="7410"/>
        </w:tabs>
        <w:kinsoku/>
        <w:wordWrap/>
        <w:overflowPunct/>
        <w:topLinePunct w:val="0"/>
        <w:autoSpaceDE/>
        <w:autoSpaceDN/>
        <w:bidi w:val="0"/>
        <w:adjustRightInd/>
        <w:snapToGrid w:val="0"/>
        <w:spacing w:line="360" w:lineRule="auto"/>
        <w:jc w:val="center"/>
        <w:textAlignment w:val="auto"/>
        <w:rPr>
          <w:rFonts w:hint="eastAsia" w:ascii="华文中宋" w:hAnsi="华文中宋" w:eastAsia="华文中宋" w:cs="华文中宋"/>
          <w:w w:val="90"/>
          <w:sz w:val="32"/>
          <w:szCs w:val="22"/>
          <w:lang w:val="en-US" w:eastAsia="zh-CN"/>
        </w:rPr>
      </w:pPr>
      <w:r>
        <w:rPr>
          <w:rFonts w:hint="eastAsia" w:ascii="华文中宋" w:hAnsi="华文中宋" w:eastAsia="华文中宋" w:cs="华文中宋"/>
          <w:w w:val="90"/>
          <w:sz w:val="32"/>
          <w:szCs w:val="22"/>
        </w:rPr>
        <w:t>五里桥街道党群服务站（益空间）“香草吧”和公益活动托管</w:t>
      </w:r>
      <w:r>
        <w:rPr>
          <w:rFonts w:hint="eastAsia" w:ascii="华文中宋" w:hAnsi="华文中宋" w:eastAsia="华文中宋" w:cs="华文中宋"/>
          <w:w w:val="90"/>
          <w:sz w:val="32"/>
          <w:szCs w:val="22"/>
          <w:lang w:val="en-US" w:eastAsia="zh-CN"/>
        </w:rPr>
        <w:t>项目</w:t>
      </w:r>
    </w:p>
    <w:p>
      <w:pPr>
        <w:pStyle w:val="4"/>
        <w:keepNext w:val="0"/>
        <w:keepLines w:val="0"/>
        <w:pageBreakBefore w:val="0"/>
        <w:widowControl w:val="0"/>
        <w:tabs>
          <w:tab w:val="center" w:pos="4153"/>
          <w:tab w:val="left" w:pos="7410"/>
        </w:tabs>
        <w:kinsoku/>
        <w:wordWrap/>
        <w:overflowPunct/>
        <w:topLinePunct w:val="0"/>
        <w:autoSpaceDE/>
        <w:autoSpaceDN/>
        <w:bidi w:val="0"/>
        <w:adjustRightInd/>
        <w:snapToGrid w:val="0"/>
        <w:spacing w:line="360" w:lineRule="auto"/>
        <w:jc w:val="center"/>
        <w:textAlignment w:val="auto"/>
        <w:rPr>
          <w:rFonts w:hint="default" w:ascii="华文中宋" w:hAnsi="华文中宋" w:eastAsia="华文中宋" w:cs="华文中宋"/>
          <w:sz w:val="32"/>
          <w:szCs w:val="22"/>
        </w:rPr>
      </w:pPr>
      <w:r>
        <w:rPr>
          <w:rFonts w:hint="eastAsia" w:ascii="华文中宋" w:hAnsi="华文中宋" w:eastAsia="华文中宋" w:cs="华文中宋"/>
          <w:sz w:val="32"/>
          <w:szCs w:val="22"/>
        </w:rPr>
        <w:t>招标文件</w:t>
      </w:r>
    </w:p>
    <w:p>
      <w:pPr>
        <w:pStyle w:val="4"/>
        <w:widowControl w:val="0"/>
        <w:tabs>
          <w:tab w:val="center" w:pos="4153"/>
          <w:tab w:val="left" w:pos="7410"/>
        </w:tabs>
        <w:snapToGrid w:val="0"/>
        <w:jc w:val="center"/>
        <w:rPr>
          <w:rFonts w:hint="default"/>
          <w:b/>
          <w:color w:val="000000"/>
          <w:sz w:val="28"/>
        </w:rPr>
      </w:pPr>
    </w:p>
    <w:p>
      <w:pPr>
        <w:pStyle w:val="4"/>
        <w:widowControl w:val="0"/>
        <w:tabs>
          <w:tab w:val="center" w:pos="4153"/>
          <w:tab w:val="left" w:pos="7410"/>
        </w:tabs>
        <w:snapToGrid w:val="0"/>
        <w:jc w:val="center"/>
        <w:rPr>
          <w:rFonts w:ascii="黑体" w:eastAsia="黑体"/>
          <w:color w:val="000000"/>
          <w:sz w:val="30"/>
        </w:rPr>
      </w:pPr>
    </w:p>
    <w:p>
      <w:pPr>
        <w:pStyle w:val="4"/>
        <w:widowControl w:val="0"/>
        <w:tabs>
          <w:tab w:val="center" w:pos="4153"/>
          <w:tab w:val="left" w:pos="7410"/>
        </w:tabs>
        <w:snapToGrid w:val="0"/>
        <w:jc w:val="center"/>
        <w:rPr>
          <w:rFonts w:ascii="黑体" w:eastAsia="黑体"/>
          <w:color w:val="000000"/>
          <w:sz w:val="30"/>
        </w:rPr>
      </w:pPr>
    </w:p>
    <w:p>
      <w:pPr>
        <w:pStyle w:val="4"/>
        <w:widowControl w:val="0"/>
        <w:tabs>
          <w:tab w:val="center" w:pos="4153"/>
          <w:tab w:val="left" w:pos="7410"/>
        </w:tabs>
        <w:snapToGrid w:val="0"/>
        <w:jc w:val="both"/>
        <w:rPr>
          <w:rFonts w:ascii="楷体_GB2312" w:eastAsia="楷体_GB2312"/>
          <w:w w:val="80"/>
          <w:sz w:val="30"/>
          <w:szCs w:val="30"/>
          <w:u w:val="single"/>
          <w:lang w:val="en-US"/>
        </w:rPr>
      </w:pPr>
      <w:r>
        <w:rPr>
          <w:rFonts w:ascii="黑体" w:eastAsia="黑体"/>
          <w:color w:val="000000"/>
          <w:sz w:val="30"/>
        </w:rPr>
        <w:t>项目名称</w:t>
      </w:r>
      <w:r>
        <w:rPr>
          <w:color w:val="000000"/>
          <w:sz w:val="30"/>
        </w:rPr>
        <w:t>：</w:t>
      </w:r>
      <w:r>
        <w:rPr>
          <w:rFonts w:hint="eastAsia" w:ascii="楷体_GB2312" w:eastAsia="楷体_GB2312"/>
          <w:w w:val="80"/>
          <w:sz w:val="30"/>
          <w:szCs w:val="30"/>
          <w:u w:val="single"/>
          <w:lang w:val="en-US" w:eastAsia="zh-CN"/>
        </w:rPr>
        <w:t>五里桥街道党群服务站（益空间）“香草吧”和公益活动托管项目</w:t>
      </w:r>
    </w:p>
    <w:p>
      <w:pPr>
        <w:pStyle w:val="4"/>
        <w:widowControl w:val="0"/>
        <w:tabs>
          <w:tab w:val="center" w:pos="4153"/>
          <w:tab w:val="left" w:pos="7410"/>
        </w:tabs>
        <w:snapToGrid w:val="0"/>
        <w:jc w:val="both"/>
        <w:rPr>
          <w:rFonts w:hint="eastAsia" w:eastAsia="楷体_GB2312"/>
          <w:u w:val="single"/>
          <w:lang w:val="en-US" w:eastAsia="zh-CN"/>
        </w:rPr>
      </w:pPr>
      <w:r>
        <w:rPr>
          <w:rFonts w:ascii="黑体" w:eastAsia="黑体"/>
          <w:sz w:val="30"/>
        </w:rPr>
        <w:t>招标编号</w:t>
      </w:r>
      <w:r>
        <w:rPr>
          <w:rFonts w:ascii="楷体_GB2312" w:eastAsia="楷体_GB2312"/>
          <w:sz w:val="30"/>
        </w:rPr>
        <w:t>：</w:t>
      </w:r>
      <w:r>
        <w:rPr>
          <w:rFonts w:ascii="楷体_GB2312" w:eastAsia="楷体_GB2312"/>
          <w:sz w:val="30"/>
          <w:u w:val="single"/>
        </w:rPr>
        <w:t>HPWL</w:t>
      </w:r>
      <w:r>
        <w:rPr>
          <w:rFonts w:hint="eastAsia" w:ascii="楷体_GB2312" w:eastAsia="楷体_GB2312"/>
          <w:sz w:val="30"/>
          <w:u w:val="single"/>
          <w:lang w:val="en-US" w:eastAsia="zh-CN"/>
        </w:rPr>
        <w:t xml:space="preserve">201911                                   </w:t>
      </w:r>
    </w:p>
    <w:p>
      <w:pPr>
        <w:pStyle w:val="4"/>
        <w:widowControl w:val="0"/>
        <w:tabs>
          <w:tab w:val="center" w:pos="4153"/>
          <w:tab w:val="left" w:pos="7410"/>
        </w:tabs>
        <w:snapToGrid w:val="0"/>
        <w:jc w:val="center"/>
        <w:rPr>
          <w:rFonts w:hint="default"/>
          <w:color w:val="000000"/>
          <w:sz w:val="30"/>
        </w:rPr>
      </w:pPr>
    </w:p>
    <w:p>
      <w:pPr>
        <w:pStyle w:val="4"/>
        <w:widowControl w:val="0"/>
        <w:snapToGrid w:val="0"/>
        <w:jc w:val="center"/>
        <w:rPr>
          <w:rFonts w:hint="default"/>
          <w:b/>
          <w:color w:val="000000"/>
          <w:sz w:val="28"/>
        </w:rPr>
      </w:pPr>
    </w:p>
    <w:p>
      <w:pPr>
        <w:pStyle w:val="4"/>
        <w:widowControl w:val="0"/>
        <w:snapToGrid w:val="0"/>
        <w:jc w:val="center"/>
        <w:rPr>
          <w:rFonts w:hint="default"/>
          <w:b/>
          <w:color w:val="000000"/>
          <w:sz w:val="28"/>
        </w:rPr>
      </w:pPr>
    </w:p>
    <w:p>
      <w:pPr>
        <w:pStyle w:val="4"/>
        <w:widowControl w:val="0"/>
        <w:snapToGrid w:val="0"/>
        <w:jc w:val="center"/>
        <w:rPr>
          <w:rFonts w:hint="default"/>
          <w:b/>
          <w:color w:val="000000"/>
          <w:sz w:val="28"/>
        </w:rPr>
      </w:pPr>
    </w:p>
    <w:p>
      <w:pPr>
        <w:pStyle w:val="4"/>
        <w:widowControl w:val="0"/>
        <w:snapToGrid w:val="0"/>
        <w:jc w:val="center"/>
        <w:rPr>
          <w:rStyle w:val="7"/>
          <w:rFonts w:hint="eastAsia"/>
          <w:b w:val="0"/>
          <w:color w:val="000000"/>
          <w:sz w:val="28"/>
        </w:rPr>
      </w:pPr>
    </w:p>
    <w:p>
      <w:pPr>
        <w:pStyle w:val="4"/>
        <w:widowControl w:val="0"/>
        <w:snapToGrid w:val="0"/>
        <w:jc w:val="center"/>
        <w:rPr>
          <w:rStyle w:val="7"/>
          <w:rFonts w:hint="eastAsia" w:ascii="黑体" w:eastAsia="黑体"/>
          <w:b w:val="0"/>
          <w:sz w:val="28"/>
        </w:rPr>
      </w:pPr>
    </w:p>
    <w:p>
      <w:pPr>
        <w:pStyle w:val="4"/>
        <w:widowControl w:val="0"/>
        <w:snapToGrid w:val="0"/>
        <w:jc w:val="center"/>
        <w:rPr>
          <w:rStyle w:val="7"/>
          <w:rFonts w:hint="eastAsia" w:ascii="黑体" w:eastAsia="黑体"/>
          <w:b w:val="0"/>
          <w:sz w:val="28"/>
        </w:rPr>
      </w:pPr>
    </w:p>
    <w:p>
      <w:pPr>
        <w:pStyle w:val="4"/>
        <w:widowControl w:val="0"/>
        <w:snapToGrid w:val="0"/>
        <w:jc w:val="both"/>
        <w:rPr>
          <w:rStyle w:val="7"/>
          <w:rFonts w:hint="eastAsia" w:ascii="黑体" w:eastAsia="黑体"/>
          <w:b w:val="0"/>
          <w:sz w:val="28"/>
        </w:rPr>
      </w:pPr>
    </w:p>
    <w:p>
      <w:pPr>
        <w:pStyle w:val="4"/>
        <w:widowControl w:val="0"/>
        <w:snapToGrid w:val="0"/>
        <w:jc w:val="both"/>
        <w:rPr>
          <w:rStyle w:val="7"/>
          <w:rFonts w:hint="eastAsia" w:ascii="楷体" w:hAnsi="楷体" w:eastAsia="楷体" w:cs="楷体"/>
          <w:b w:val="0"/>
          <w:sz w:val="30"/>
          <w:szCs w:val="30"/>
          <w:u w:val="single"/>
          <w:lang w:val="en-US" w:eastAsia="zh-CN"/>
        </w:rPr>
      </w:pPr>
      <w:r>
        <w:rPr>
          <w:rStyle w:val="7"/>
          <w:rFonts w:hint="eastAsia" w:ascii="黑体" w:eastAsia="黑体"/>
          <w:b w:val="0"/>
          <w:sz w:val="28"/>
        </w:rPr>
        <w:t>招  标  人</w:t>
      </w:r>
      <w:r>
        <w:rPr>
          <w:rStyle w:val="7"/>
          <w:rFonts w:hint="eastAsia"/>
          <w:b w:val="0"/>
          <w:sz w:val="28"/>
        </w:rPr>
        <w:t>：</w:t>
      </w:r>
      <w:r>
        <w:rPr>
          <w:rStyle w:val="7"/>
          <w:rFonts w:hint="eastAsia" w:ascii="楷体" w:hAnsi="楷体" w:eastAsia="楷体" w:cs="楷体"/>
          <w:b w:val="0"/>
          <w:sz w:val="30"/>
          <w:szCs w:val="30"/>
          <w:u w:val="single"/>
        </w:rPr>
        <w:t>上海市黄浦区</w:t>
      </w:r>
      <w:r>
        <w:rPr>
          <w:rStyle w:val="7"/>
          <w:rFonts w:hint="eastAsia" w:ascii="楷体" w:hAnsi="楷体" w:eastAsia="楷体" w:cs="楷体"/>
          <w:b w:val="0"/>
          <w:sz w:val="30"/>
          <w:szCs w:val="30"/>
          <w:u w:val="single"/>
          <w:lang w:val="en-US" w:eastAsia="zh-CN"/>
        </w:rPr>
        <w:t>人民政府</w:t>
      </w:r>
      <w:r>
        <w:rPr>
          <w:rStyle w:val="7"/>
          <w:rFonts w:hint="eastAsia" w:ascii="楷体" w:hAnsi="楷体" w:eastAsia="楷体" w:cs="楷体"/>
          <w:b w:val="0"/>
          <w:sz w:val="30"/>
          <w:szCs w:val="30"/>
          <w:u w:val="single"/>
        </w:rPr>
        <w:t>五里桥街道</w:t>
      </w:r>
      <w:bookmarkStart w:id="0" w:name="需求单位"/>
      <w:bookmarkEnd w:id="0"/>
      <w:r>
        <w:rPr>
          <w:rStyle w:val="7"/>
          <w:rFonts w:hint="eastAsia" w:ascii="楷体" w:hAnsi="楷体" w:eastAsia="楷体" w:cs="楷体"/>
          <w:b w:val="0"/>
          <w:sz w:val="30"/>
          <w:szCs w:val="30"/>
          <w:u w:val="single"/>
          <w:lang w:val="en-US" w:eastAsia="zh-CN"/>
        </w:rPr>
        <w:t xml:space="preserve">办事处  </w:t>
      </w:r>
    </w:p>
    <w:p>
      <w:pPr>
        <w:pStyle w:val="4"/>
        <w:widowControl w:val="0"/>
        <w:snapToGrid w:val="0"/>
        <w:jc w:val="both"/>
        <w:rPr>
          <w:rStyle w:val="7"/>
          <w:rFonts w:hint="eastAsia" w:cs="宋体"/>
          <w:b w:val="0"/>
          <w:color w:val="000000"/>
          <w:sz w:val="28"/>
          <w:u w:val="single"/>
          <w:lang w:val="en-US"/>
        </w:rPr>
      </w:pPr>
      <w:r>
        <w:rPr>
          <w:rStyle w:val="7"/>
          <w:rFonts w:hint="eastAsia" w:ascii="黑体" w:eastAsia="黑体"/>
          <w:b w:val="0"/>
          <w:color w:val="000000"/>
          <w:sz w:val="28"/>
        </w:rPr>
        <w:t>招标代理人</w:t>
      </w:r>
      <w:bookmarkStart w:id="1" w:name="招标日期"/>
      <w:bookmarkEnd w:id="1"/>
      <w:r>
        <w:rPr>
          <w:rStyle w:val="7"/>
          <w:rFonts w:hint="eastAsia" w:ascii="黑体" w:eastAsia="黑体"/>
          <w:b w:val="0"/>
          <w:color w:val="000000"/>
          <w:sz w:val="28"/>
        </w:rPr>
        <w:t>：</w:t>
      </w:r>
      <w:r>
        <w:rPr>
          <w:rStyle w:val="7"/>
          <w:rFonts w:hint="eastAsia" w:ascii="楷体" w:hAnsi="楷体" w:eastAsia="楷体" w:cs="楷体"/>
          <w:b w:val="0"/>
          <w:bCs/>
          <w:color w:val="000000"/>
          <w:sz w:val="30"/>
          <w:szCs w:val="30"/>
          <w:u w:val="single"/>
          <w:lang w:val="en-US" w:eastAsia="zh-CN"/>
        </w:rPr>
        <w:t xml:space="preserve">上海黄浦区五里桥社区社会组织服务中心  </w:t>
      </w:r>
    </w:p>
    <w:p>
      <w:pPr>
        <w:pStyle w:val="4"/>
        <w:widowControl w:val="0"/>
        <w:snapToGrid w:val="0"/>
        <w:jc w:val="center"/>
        <w:rPr>
          <w:rStyle w:val="7"/>
          <w:rFonts w:hint="eastAsia" w:cs="宋体"/>
          <w:b w:val="0"/>
          <w:color w:val="000000"/>
          <w:sz w:val="28"/>
          <w:u w:val="single"/>
        </w:rPr>
      </w:pPr>
    </w:p>
    <w:p>
      <w:pPr>
        <w:pStyle w:val="4"/>
        <w:widowControl w:val="0"/>
        <w:snapToGrid w:val="0"/>
        <w:jc w:val="center"/>
        <w:rPr>
          <w:rStyle w:val="7"/>
          <w:rFonts w:hint="eastAsia" w:ascii="黑体" w:eastAsia="黑体"/>
          <w:b w:val="0"/>
          <w:color w:val="000000"/>
          <w:sz w:val="28"/>
        </w:rPr>
      </w:pPr>
    </w:p>
    <w:p>
      <w:pPr>
        <w:jc w:val="center"/>
        <w:rPr>
          <w:rFonts w:ascii="华文中宋" w:hAnsi="华文中宋" w:eastAsia="华文中宋"/>
          <w:b w:val="0"/>
          <w:bCs/>
          <w:sz w:val="32"/>
        </w:rPr>
      </w:pPr>
      <w:r>
        <w:rPr>
          <w:rFonts w:hint="eastAsia" w:ascii="华文中宋" w:hAnsi="华文中宋" w:eastAsia="华文中宋"/>
          <w:b w:val="0"/>
          <w:bCs/>
          <w:sz w:val="32"/>
        </w:rPr>
        <w:t>第一章  投标邀请</w:t>
      </w:r>
    </w:p>
    <w:p>
      <w:pPr>
        <w:pStyle w:val="3"/>
        <w:ind w:firstLine="420" w:firstLineChars="200"/>
        <w:rPr>
          <w:rFonts w:hint="default"/>
          <w:sz w:val="21"/>
        </w:rPr>
      </w:pPr>
    </w:p>
    <w:p>
      <w:pPr>
        <w:pStyle w:val="3"/>
        <w:spacing w:line="360" w:lineRule="auto"/>
        <w:ind w:firstLine="480"/>
        <w:rPr>
          <w:rFonts w:ascii="Times New Roman" w:eastAsia="仿宋_GB2312"/>
          <w:color w:val="auto"/>
          <w:sz w:val="24"/>
        </w:rPr>
      </w:pPr>
      <w:r>
        <w:rPr>
          <w:rFonts w:hint="eastAsia" w:ascii="Times New Roman" w:eastAsia="仿宋_GB2312"/>
          <w:color w:val="auto"/>
          <w:sz w:val="24"/>
          <w:lang w:val="en-US" w:eastAsia="zh-CN"/>
        </w:rPr>
        <w:t>上海黄浦区五里桥社区社会组织服务中心</w:t>
      </w:r>
      <w:r>
        <w:rPr>
          <w:rFonts w:ascii="Times New Roman" w:eastAsia="仿宋_GB2312"/>
          <w:color w:val="auto"/>
          <w:sz w:val="24"/>
        </w:rPr>
        <w:t>受五里桥街道委托，对</w:t>
      </w:r>
      <w:r>
        <w:rPr>
          <w:rFonts w:hint="eastAsia" w:ascii="Times New Roman" w:eastAsia="仿宋_GB2312"/>
          <w:color w:val="auto"/>
          <w:sz w:val="24"/>
          <w:szCs w:val="22"/>
          <w:lang w:val="en-US" w:eastAsia="zh-CN"/>
        </w:rPr>
        <w:t>五里桥街道党群服务站（益空间）“香草吧”和公益活动托管项目</w:t>
      </w:r>
      <w:r>
        <w:rPr>
          <w:rFonts w:ascii="Times New Roman" w:eastAsia="仿宋_GB2312"/>
          <w:color w:val="auto"/>
          <w:sz w:val="24"/>
        </w:rPr>
        <w:t>进行国内公开招标，特邀请合格的投标人前来投标。</w:t>
      </w:r>
    </w:p>
    <w:p>
      <w:pPr>
        <w:spacing w:line="360" w:lineRule="auto"/>
        <w:rPr>
          <w:rFonts w:hint="eastAsia" w:ascii="黑体" w:hAnsi="黑体" w:eastAsia="黑体" w:cs="黑体"/>
          <w:sz w:val="24"/>
        </w:rPr>
      </w:pPr>
      <w:r>
        <w:rPr>
          <w:rFonts w:hint="eastAsia" w:ascii="仿宋" w:hAnsi="仿宋" w:eastAsia="仿宋"/>
          <w:sz w:val="24"/>
        </w:rPr>
        <w:t xml:space="preserve">   </w:t>
      </w:r>
      <w:r>
        <w:rPr>
          <w:rFonts w:hint="eastAsia" w:ascii="黑体" w:hAnsi="黑体" w:eastAsia="黑体" w:cs="黑体"/>
          <w:sz w:val="24"/>
          <w:lang w:val="en-US" w:eastAsia="zh-CN"/>
        </w:rPr>
        <w:t>一、采购信息</w:t>
      </w:r>
    </w:p>
    <w:p>
      <w:pPr>
        <w:spacing w:line="360" w:lineRule="auto"/>
        <w:ind w:firstLine="480" w:firstLineChars="200"/>
        <w:rPr>
          <w:rFonts w:hint="eastAsia" w:eastAsia="仿宋_GB2312"/>
          <w:color w:val="auto"/>
          <w:sz w:val="24"/>
          <w:lang w:val="en-US" w:eastAsia="zh-CN"/>
        </w:rPr>
      </w:pPr>
      <w:r>
        <w:rPr>
          <w:rFonts w:hint="eastAsia" w:eastAsia="仿宋_GB2312"/>
          <w:color w:val="auto"/>
          <w:sz w:val="24"/>
        </w:rPr>
        <w:t>1.1招标编号</w:t>
      </w:r>
      <w:r>
        <w:rPr>
          <w:rFonts w:hint="eastAsia" w:eastAsia="仿宋_GB2312"/>
          <w:color w:val="auto"/>
          <w:sz w:val="24"/>
          <w:lang w:eastAsia="zh-CN"/>
        </w:rPr>
        <w:t>：</w:t>
      </w:r>
      <w:r>
        <w:rPr>
          <w:rFonts w:eastAsia="仿宋_GB2312"/>
          <w:color w:val="auto"/>
          <w:sz w:val="24"/>
        </w:rPr>
        <w:t>HPWL201</w:t>
      </w:r>
      <w:r>
        <w:rPr>
          <w:rFonts w:hint="eastAsia" w:eastAsia="仿宋_GB2312"/>
          <w:color w:val="auto"/>
          <w:sz w:val="24"/>
          <w:lang w:val="en-US" w:eastAsia="zh-CN"/>
        </w:rPr>
        <w:t>911</w:t>
      </w:r>
    </w:p>
    <w:p>
      <w:pPr>
        <w:spacing w:line="360" w:lineRule="auto"/>
        <w:ind w:firstLine="480" w:firstLineChars="200"/>
        <w:rPr>
          <w:rFonts w:hint="eastAsia" w:eastAsia="仿宋_GB2312"/>
          <w:color w:val="auto"/>
          <w:w w:val="90"/>
          <w:sz w:val="24"/>
          <w:lang w:val="en-US" w:eastAsia="zh-CN"/>
        </w:rPr>
      </w:pPr>
      <w:r>
        <w:rPr>
          <w:rFonts w:hint="eastAsia" w:eastAsia="仿宋_GB2312"/>
          <w:color w:val="auto"/>
          <w:sz w:val="24"/>
        </w:rPr>
        <w:t>1.2项目名称：</w:t>
      </w:r>
      <w:r>
        <w:rPr>
          <w:rFonts w:hint="eastAsia" w:eastAsia="仿宋_GB2312"/>
          <w:color w:val="auto"/>
          <w:w w:val="90"/>
          <w:sz w:val="24"/>
        </w:rPr>
        <w:t>五里桥街道党群服务站（益空间）“香草吧”和公益活动托管</w:t>
      </w:r>
      <w:r>
        <w:rPr>
          <w:rFonts w:hint="eastAsia" w:eastAsia="仿宋_GB2312"/>
          <w:color w:val="auto"/>
          <w:w w:val="90"/>
          <w:sz w:val="24"/>
          <w:lang w:val="en-US" w:eastAsia="zh-CN"/>
        </w:rPr>
        <w:t>项目</w:t>
      </w:r>
    </w:p>
    <w:p>
      <w:pPr>
        <w:spacing w:line="360" w:lineRule="auto"/>
        <w:ind w:firstLine="480" w:firstLineChars="200"/>
        <w:rPr>
          <w:rFonts w:hint="eastAsia" w:eastAsia="仿宋_GB2312"/>
          <w:color w:val="auto"/>
          <w:sz w:val="24"/>
          <w:lang w:val="en-US" w:eastAsia="zh-CN"/>
        </w:rPr>
      </w:pPr>
      <w:r>
        <w:rPr>
          <w:rFonts w:hint="eastAsia" w:eastAsia="仿宋_GB2312"/>
          <w:color w:val="auto"/>
          <w:sz w:val="24"/>
        </w:rPr>
        <w:t>1.3服务对象：</w:t>
      </w:r>
      <w:r>
        <w:rPr>
          <w:rFonts w:hint="eastAsia" w:eastAsia="仿宋_GB2312"/>
          <w:color w:val="auto"/>
          <w:sz w:val="24"/>
          <w:lang w:val="en-US" w:eastAsia="zh-CN"/>
        </w:rPr>
        <w:t>五里桥社区居民、园区白领</w:t>
      </w:r>
    </w:p>
    <w:p>
      <w:pPr>
        <w:spacing w:line="360" w:lineRule="auto"/>
        <w:ind w:firstLine="480" w:firstLineChars="200"/>
        <w:rPr>
          <w:rFonts w:hint="eastAsia" w:eastAsia="仿宋_GB2312"/>
          <w:color w:val="auto"/>
          <w:sz w:val="24"/>
          <w:lang w:val="en-US" w:eastAsia="zh-CN"/>
        </w:rPr>
      </w:pPr>
      <w:r>
        <w:rPr>
          <w:rFonts w:hint="eastAsia" w:eastAsia="仿宋_GB2312"/>
          <w:color w:val="auto"/>
          <w:sz w:val="24"/>
        </w:rPr>
        <w:t>1.4项目实施地点：五里桥</w:t>
      </w:r>
      <w:r>
        <w:rPr>
          <w:rFonts w:hint="eastAsia" w:eastAsia="仿宋_GB2312"/>
          <w:color w:val="auto"/>
          <w:sz w:val="24"/>
          <w:lang w:val="en-US" w:eastAsia="zh-CN"/>
        </w:rPr>
        <w:t>街道</w:t>
      </w:r>
    </w:p>
    <w:p>
      <w:pPr>
        <w:spacing w:line="360" w:lineRule="auto"/>
        <w:ind w:firstLine="480" w:firstLineChars="200"/>
        <w:rPr>
          <w:rFonts w:hint="eastAsia" w:eastAsia="仿宋_GB2312"/>
          <w:color w:val="auto"/>
          <w:sz w:val="24"/>
        </w:rPr>
      </w:pPr>
      <w:r>
        <w:rPr>
          <w:rFonts w:hint="eastAsia" w:eastAsia="仿宋_GB2312"/>
          <w:color w:val="auto"/>
          <w:sz w:val="24"/>
        </w:rPr>
        <w:t>1.5项目周期：</w:t>
      </w:r>
      <w:r>
        <w:rPr>
          <w:rFonts w:hint="eastAsia" w:eastAsia="仿宋_GB2312"/>
          <w:color w:val="auto"/>
          <w:sz w:val="24"/>
          <w:szCs w:val="22"/>
        </w:rPr>
        <w:t>201</w:t>
      </w:r>
      <w:r>
        <w:rPr>
          <w:rFonts w:hint="eastAsia" w:eastAsia="仿宋_GB2312"/>
          <w:color w:val="auto"/>
          <w:sz w:val="24"/>
          <w:szCs w:val="22"/>
          <w:lang w:val="en-US" w:eastAsia="zh-CN"/>
        </w:rPr>
        <w:t>9</w:t>
      </w:r>
      <w:r>
        <w:rPr>
          <w:rFonts w:hint="eastAsia" w:eastAsia="仿宋_GB2312"/>
          <w:color w:val="auto"/>
          <w:sz w:val="24"/>
          <w:szCs w:val="22"/>
        </w:rPr>
        <w:t>年</w:t>
      </w:r>
      <w:r>
        <w:rPr>
          <w:rFonts w:hint="eastAsia" w:eastAsia="仿宋_GB2312"/>
          <w:color w:val="auto"/>
          <w:sz w:val="24"/>
          <w:szCs w:val="22"/>
          <w:lang w:val="en-US" w:eastAsia="zh-CN"/>
        </w:rPr>
        <w:t>1</w:t>
      </w:r>
      <w:r>
        <w:rPr>
          <w:rFonts w:hint="eastAsia" w:eastAsia="仿宋_GB2312"/>
          <w:color w:val="auto"/>
          <w:sz w:val="24"/>
          <w:szCs w:val="22"/>
        </w:rPr>
        <w:t>月</w:t>
      </w:r>
      <w:r>
        <w:rPr>
          <w:rFonts w:hint="eastAsia" w:eastAsia="仿宋_GB2312"/>
          <w:color w:val="auto"/>
          <w:sz w:val="24"/>
          <w:szCs w:val="22"/>
          <w:lang w:eastAsia="zh-CN"/>
        </w:rPr>
        <w:t>—</w:t>
      </w:r>
      <w:r>
        <w:rPr>
          <w:rFonts w:hint="eastAsia" w:eastAsia="仿宋_GB2312"/>
          <w:color w:val="auto"/>
          <w:sz w:val="24"/>
          <w:szCs w:val="22"/>
        </w:rPr>
        <w:t>2019年</w:t>
      </w:r>
      <w:r>
        <w:rPr>
          <w:rFonts w:hint="eastAsia" w:eastAsia="仿宋_GB2312"/>
          <w:color w:val="auto"/>
          <w:sz w:val="24"/>
          <w:szCs w:val="22"/>
          <w:lang w:val="en-US" w:eastAsia="zh-CN"/>
        </w:rPr>
        <w:t>12</w:t>
      </w:r>
      <w:r>
        <w:rPr>
          <w:rFonts w:hint="eastAsia" w:eastAsia="仿宋_GB2312"/>
          <w:color w:val="auto"/>
          <w:sz w:val="24"/>
          <w:szCs w:val="22"/>
        </w:rPr>
        <w:t>月</w:t>
      </w:r>
    </w:p>
    <w:p>
      <w:pPr>
        <w:spacing w:line="360" w:lineRule="auto"/>
        <w:ind w:firstLine="480" w:firstLineChars="200"/>
        <w:rPr>
          <w:rFonts w:hint="eastAsia" w:eastAsia="仿宋_GB2312"/>
          <w:color w:val="auto"/>
          <w:sz w:val="24"/>
        </w:rPr>
      </w:pPr>
      <w:r>
        <w:rPr>
          <w:rFonts w:hint="eastAsia" w:eastAsia="仿宋_GB2312"/>
          <w:color w:val="auto"/>
          <w:sz w:val="24"/>
        </w:rPr>
        <w:t>1.6最高限价：</w:t>
      </w:r>
      <w:r>
        <w:rPr>
          <w:rFonts w:hint="eastAsia" w:eastAsia="仿宋_GB2312"/>
          <w:color w:val="auto"/>
          <w:sz w:val="24"/>
          <w:lang w:val="en-US" w:eastAsia="zh-CN"/>
        </w:rPr>
        <w:t>160000</w:t>
      </w:r>
      <w:r>
        <w:rPr>
          <w:rFonts w:hint="eastAsia" w:eastAsia="仿宋_GB2312"/>
          <w:color w:val="auto"/>
          <w:sz w:val="24"/>
        </w:rPr>
        <w:t>元</w:t>
      </w:r>
    </w:p>
    <w:p>
      <w:pPr>
        <w:spacing w:line="360" w:lineRule="auto"/>
        <w:ind w:firstLine="480" w:firstLineChars="200"/>
        <w:rPr>
          <w:rFonts w:hint="eastAsia" w:eastAsia="仿宋_GB2312"/>
          <w:sz w:val="24"/>
          <w:lang w:eastAsia="zh-CN"/>
        </w:rPr>
      </w:pPr>
      <w:r>
        <w:rPr>
          <w:rFonts w:hint="eastAsia" w:eastAsia="仿宋_GB2312"/>
          <w:sz w:val="24"/>
        </w:rPr>
        <w:t>1.7付款方式：分期付款</w:t>
      </w:r>
      <w:r>
        <w:rPr>
          <w:rFonts w:hint="eastAsia" w:eastAsia="仿宋_GB2312"/>
          <w:sz w:val="24"/>
          <w:lang w:eastAsia="zh-CN"/>
        </w:rPr>
        <w:t>（</w:t>
      </w:r>
      <w:r>
        <w:rPr>
          <w:rFonts w:hint="eastAsia" w:eastAsia="仿宋_GB2312"/>
          <w:sz w:val="24"/>
          <w:lang w:val="en-US" w:eastAsia="zh-CN"/>
        </w:rPr>
        <w:t>具体可由双方协商确定</w:t>
      </w:r>
      <w:r>
        <w:rPr>
          <w:rFonts w:hint="eastAsia" w:eastAsia="仿宋_GB2312"/>
          <w:sz w:val="24"/>
          <w:lang w:eastAsia="zh-CN"/>
        </w:rPr>
        <w:t>）</w:t>
      </w:r>
    </w:p>
    <w:p>
      <w:pPr>
        <w:spacing w:line="360" w:lineRule="auto"/>
        <w:ind w:firstLine="480" w:firstLineChars="200"/>
        <w:rPr>
          <w:rFonts w:hint="eastAsia" w:ascii="黑体" w:hAnsi="黑体" w:eastAsia="黑体" w:cs="黑体"/>
          <w:sz w:val="24"/>
          <w:lang w:val="en-US" w:eastAsia="zh-CN"/>
        </w:rPr>
      </w:pPr>
      <w:r>
        <w:rPr>
          <w:rFonts w:hint="eastAsia" w:ascii="黑体" w:hAnsi="黑体" w:eastAsia="黑体" w:cs="黑体"/>
          <w:sz w:val="24"/>
          <w:lang w:val="en-US" w:eastAsia="zh-CN"/>
        </w:rPr>
        <w:t>二、投标要求</w:t>
      </w:r>
    </w:p>
    <w:p>
      <w:pPr>
        <w:spacing w:line="360" w:lineRule="auto"/>
        <w:ind w:firstLine="480" w:firstLineChars="200"/>
        <w:rPr>
          <w:rFonts w:eastAsia="仿宋_GB2312"/>
          <w:sz w:val="24"/>
        </w:rPr>
      </w:pPr>
      <w:r>
        <w:rPr>
          <w:rFonts w:hint="eastAsia" w:eastAsia="仿宋_GB2312"/>
          <w:sz w:val="24"/>
        </w:rPr>
        <w:t>2.1依法登记的社会团体、民办非企业单位和公益性非营利的事业单位</w:t>
      </w:r>
    </w:p>
    <w:p>
      <w:pPr>
        <w:spacing w:line="360" w:lineRule="auto"/>
        <w:ind w:firstLine="480" w:firstLineChars="200"/>
        <w:rPr>
          <w:rFonts w:hint="eastAsia" w:eastAsia="仿宋_GB2312"/>
          <w:sz w:val="24"/>
        </w:rPr>
      </w:pPr>
      <w:r>
        <w:rPr>
          <w:rFonts w:eastAsia="仿宋_GB2312"/>
          <w:sz w:val="24"/>
        </w:rPr>
        <w:t>2.</w:t>
      </w:r>
      <w:r>
        <w:rPr>
          <w:rFonts w:hint="eastAsia" w:eastAsia="仿宋_GB2312"/>
          <w:sz w:val="24"/>
        </w:rPr>
        <w:t>2投标人所投项目应与其业务范围或组织宗旨相关</w:t>
      </w:r>
    </w:p>
    <w:p>
      <w:pPr>
        <w:spacing w:line="360" w:lineRule="auto"/>
        <w:ind w:firstLine="480" w:firstLineChars="200"/>
        <w:rPr>
          <w:rFonts w:hint="eastAsia" w:eastAsia="仿宋_GB2312"/>
          <w:sz w:val="24"/>
          <w:lang w:val="en-US" w:eastAsia="zh-CN"/>
        </w:rPr>
      </w:pPr>
      <w:r>
        <w:rPr>
          <w:rFonts w:hint="eastAsia" w:eastAsia="仿宋_GB2312"/>
          <w:sz w:val="24"/>
          <w:lang w:val="en-US" w:eastAsia="zh-CN"/>
        </w:rPr>
        <w:t>2.3治理结构健全，内部管理和监督制度完善</w:t>
      </w:r>
    </w:p>
    <w:p>
      <w:pPr>
        <w:spacing w:line="360" w:lineRule="auto"/>
        <w:ind w:firstLine="480" w:firstLineChars="200"/>
        <w:rPr>
          <w:rFonts w:hint="eastAsia" w:eastAsia="仿宋_GB2312"/>
          <w:sz w:val="24"/>
          <w:lang w:val="en-US" w:eastAsia="zh-CN"/>
        </w:rPr>
      </w:pPr>
      <w:r>
        <w:rPr>
          <w:rFonts w:hint="eastAsia" w:eastAsia="仿宋_GB2312"/>
          <w:sz w:val="24"/>
          <w:lang w:val="en-US" w:eastAsia="zh-CN"/>
        </w:rPr>
        <w:t>2.4具有独立、健全的财务管理、会计核算和资产管理制度</w:t>
      </w:r>
    </w:p>
    <w:p>
      <w:pPr>
        <w:spacing w:line="360" w:lineRule="auto"/>
        <w:ind w:firstLine="480" w:firstLineChars="200"/>
        <w:rPr>
          <w:rFonts w:hint="eastAsia" w:eastAsia="仿宋_GB2312"/>
          <w:sz w:val="24"/>
          <w:lang w:val="en-US" w:eastAsia="zh-CN"/>
        </w:rPr>
      </w:pPr>
      <w:r>
        <w:rPr>
          <w:rFonts w:hint="eastAsia" w:eastAsia="仿宋_GB2312"/>
          <w:sz w:val="24"/>
          <w:lang w:val="en-US" w:eastAsia="zh-CN"/>
        </w:rPr>
        <w:t>2.5具备提供服务所必需的设施、人员和专业技术能力</w:t>
      </w:r>
    </w:p>
    <w:p>
      <w:pPr>
        <w:spacing w:line="360" w:lineRule="auto"/>
        <w:ind w:firstLine="480" w:firstLineChars="200"/>
        <w:rPr>
          <w:rFonts w:hint="eastAsia" w:eastAsia="仿宋_GB2312"/>
          <w:sz w:val="24"/>
          <w:lang w:val="en-US" w:eastAsia="zh-CN"/>
        </w:rPr>
      </w:pPr>
      <w:r>
        <w:rPr>
          <w:rFonts w:hint="eastAsia" w:eastAsia="仿宋_GB2312"/>
          <w:sz w:val="24"/>
          <w:lang w:val="en-US" w:eastAsia="zh-CN"/>
        </w:rPr>
        <w:t>2.6具有依法缴纳税收和社会保障资金的良好记录</w:t>
      </w:r>
    </w:p>
    <w:p>
      <w:pPr>
        <w:spacing w:line="360" w:lineRule="auto"/>
        <w:ind w:firstLine="480" w:firstLineChars="200"/>
        <w:rPr>
          <w:rFonts w:hint="eastAsia" w:eastAsia="仿宋_GB2312"/>
          <w:sz w:val="24"/>
        </w:rPr>
      </w:pPr>
      <w:r>
        <w:rPr>
          <w:rFonts w:hint="eastAsia" w:eastAsia="仿宋_GB2312"/>
          <w:sz w:val="24"/>
          <w:lang w:val="en-US" w:eastAsia="zh-CN"/>
        </w:rPr>
        <w:t>2.7前3年无重大违法记录，通过年检，信用状况良好，未被列入经营异常名录或者严重违法企业名单。</w:t>
      </w:r>
      <w:r>
        <w:rPr>
          <w:rFonts w:hint="eastAsia" w:eastAsia="仿宋_GB2312"/>
          <w:sz w:val="24"/>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0"/>
        <w:rPr>
          <w:rFonts w:eastAsia="仿宋_GB2312"/>
          <w:sz w:val="24"/>
        </w:rPr>
      </w:pPr>
      <w:r>
        <w:rPr>
          <w:rFonts w:hint="eastAsia" w:eastAsia="仿宋_GB2312"/>
          <w:sz w:val="24"/>
        </w:rPr>
        <w:t>有关此次招标之事宜，可按下列地址以书面或传真或电邮形式向招标代理人进行查询。</w:t>
      </w:r>
    </w:p>
    <w:p>
      <w:pPr>
        <w:spacing w:line="360" w:lineRule="auto"/>
        <w:ind w:firstLine="480" w:firstLineChars="200"/>
        <w:rPr>
          <w:rFonts w:hint="eastAsia" w:eastAsia="仿宋_GB2312"/>
          <w:sz w:val="24"/>
        </w:rPr>
      </w:pPr>
      <w:r>
        <w:rPr>
          <w:rFonts w:hint="eastAsia" w:eastAsia="仿宋_GB2312"/>
          <w:sz w:val="24"/>
        </w:rPr>
        <w:t>招标代理人：</w:t>
      </w:r>
      <w:r>
        <w:rPr>
          <w:rFonts w:hint="eastAsia" w:eastAsia="仿宋_GB2312"/>
          <w:sz w:val="24"/>
          <w:lang w:eastAsia="zh-CN"/>
        </w:rPr>
        <w:t>上海黄浦区</w:t>
      </w:r>
      <w:r>
        <w:rPr>
          <w:rFonts w:hint="eastAsia" w:eastAsia="仿宋_GB2312"/>
          <w:sz w:val="24"/>
        </w:rPr>
        <w:t>五里</w:t>
      </w:r>
      <w:r>
        <w:rPr>
          <w:rFonts w:hint="eastAsia" w:eastAsia="仿宋_GB2312"/>
          <w:color w:val="auto"/>
          <w:sz w:val="24"/>
        </w:rPr>
        <w:t>桥社区社会</w:t>
      </w:r>
      <w:r>
        <w:rPr>
          <w:rFonts w:hint="eastAsia" w:eastAsia="仿宋_GB2312"/>
          <w:sz w:val="24"/>
        </w:rPr>
        <w:t>组织服务中心</w:t>
      </w:r>
    </w:p>
    <w:p>
      <w:pPr>
        <w:spacing w:line="360" w:lineRule="auto"/>
        <w:ind w:firstLine="480" w:firstLineChars="200"/>
        <w:rPr>
          <w:rFonts w:hint="eastAsia" w:eastAsia="仿宋_GB2312"/>
          <w:sz w:val="24"/>
          <w:lang w:val="en-US" w:eastAsia="zh-CN"/>
        </w:rPr>
      </w:pPr>
      <w:r>
        <w:rPr>
          <w:rFonts w:hint="eastAsia" w:eastAsia="仿宋_GB2312"/>
          <w:sz w:val="24"/>
        </w:rPr>
        <w:t>地址：瞿溪路75</w:t>
      </w:r>
      <w:r>
        <w:rPr>
          <w:rFonts w:hint="eastAsia" w:eastAsia="仿宋_GB2312"/>
          <w:sz w:val="24"/>
          <w:lang w:val="en-US" w:eastAsia="zh-CN"/>
        </w:rPr>
        <w:t>6号102室</w:t>
      </w:r>
    </w:p>
    <w:p>
      <w:pPr>
        <w:spacing w:line="360" w:lineRule="auto"/>
        <w:ind w:firstLine="480" w:firstLineChars="200"/>
        <w:rPr>
          <w:rFonts w:hint="eastAsia" w:eastAsia="仿宋_GB2312"/>
          <w:sz w:val="24"/>
          <w:lang w:val="en-US" w:eastAsia="zh-CN"/>
        </w:rPr>
      </w:pPr>
      <w:r>
        <w:rPr>
          <w:rFonts w:hint="eastAsia" w:eastAsia="仿宋_GB2312"/>
          <w:sz w:val="24"/>
        </w:rPr>
        <w:t>电话</w:t>
      </w:r>
      <w:bookmarkStart w:id="2" w:name="中心联系电话1"/>
      <w:bookmarkEnd w:id="2"/>
      <w:r>
        <w:rPr>
          <w:rFonts w:hint="eastAsia" w:eastAsia="仿宋_GB2312"/>
          <w:sz w:val="24"/>
        </w:rPr>
        <w:t>：63025512-3</w:t>
      </w:r>
      <w:r>
        <w:rPr>
          <w:rFonts w:hint="eastAsia" w:eastAsia="仿宋_GB2312"/>
          <w:sz w:val="24"/>
          <w:lang w:val="en-US" w:eastAsia="zh-CN"/>
        </w:rPr>
        <w:t>102</w:t>
      </w:r>
    </w:p>
    <w:p>
      <w:pPr>
        <w:numPr>
          <w:ilvl w:val="0"/>
          <w:numId w:val="1"/>
        </w:numPr>
        <w:spacing w:line="360" w:lineRule="auto"/>
        <w:ind w:firstLine="480" w:firstLineChars="200"/>
        <w:rPr>
          <w:rFonts w:hint="eastAsia" w:eastAsia="仿宋_GB2312"/>
          <w:sz w:val="24"/>
        </w:rPr>
      </w:pPr>
      <w:r>
        <w:rPr>
          <w:rFonts w:eastAsia="仿宋_GB2312"/>
          <w:sz w:val="24"/>
        </w:rPr>
        <w:t>Mail</w:t>
      </w:r>
      <w:r>
        <w:rPr>
          <w:rFonts w:hint="eastAsia" w:eastAsia="仿宋_GB2312"/>
          <w:sz w:val="24"/>
        </w:rPr>
        <w:t>：</w:t>
      </w:r>
      <w:r>
        <w:rPr>
          <w:rFonts w:hint="eastAsia" w:eastAsia="仿宋_GB2312"/>
          <w:sz w:val="24"/>
        </w:rPr>
        <w:fldChar w:fldCharType="begin"/>
      </w:r>
      <w:r>
        <w:rPr>
          <w:rFonts w:hint="eastAsia" w:eastAsia="仿宋_GB2312"/>
          <w:sz w:val="24"/>
        </w:rPr>
        <w:instrText xml:space="preserve"> HYPERLINK "mailto:ygsx20140901@126.com" </w:instrText>
      </w:r>
      <w:r>
        <w:rPr>
          <w:rFonts w:hint="eastAsia" w:eastAsia="仿宋_GB2312"/>
          <w:sz w:val="24"/>
        </w:rPr>
        <w:fldChar w:fldCharType="separate"/>
      </w:r>
      <w:r>
        <w:rPr>
          <w:rStyle w:val="8"/>
          <w:rFonts w:hint="eastAsia" w:eastAsia="仿宋_GB2312"/>
          <w:sz w:val="24"/>
        </w:rPr>
        <w:t>ygsx20140901@126.com</w:t>
      </w:r>
      <w:r>
        <w:rPr>
          <w:rFonts w:hint="eastAsia" w:eastAsia="仿宋_GB2312"/>
          <w:sz w:val="24"/>
        </w:rPr>
        <w:fldChar w:fldCharType="end"/>
      </w:r>
    </w:p>
    <w:p>
      <w:pPr>
        <w:numPr>
          <w:ilvl w:val="0"/>
          <w:numId w:val="0"/>
        </w:numPr>
        <w:spacing w:line="360" w:lineRule="auto"/>
        <w:rPr>
          <w:rFonts w:hint="eastAsia" w:eastAsia="仿宋_GB2312"/>
          <w:sz w:val="24"/>
        </w:rPr>
      </w:pPr>
    </w:p>
    <w:p>
      <w:pPr>
        <w:jc w:val="center"/>
        <w:rPr>
          <w:rFonts w:ascii="华文中宋" w:hAnsi="华文中宋" w:eastAsia="华文中宋"/>
          <w:b w:val="0"/>
          <w:bCs/>
          <w:sz w:val="32"/>
        </w:rPr>
      </w:pPr>
      <w:r>
        <w:rPr>
          <w:rFonts w:hint="eastAsia" w:ascii="华文中宋" w:hAnsi="华文中宋" w:eastAsia="华文中宋"/>
          <w:b w:val="0"/>
          <w:bCs/>
          <w:sz w:val="32"/>
        </w:rPr>
        <w:t>第二章  评分指标说明</w:t>
      </w:r>
    </w:p>
    <w:p>
      <w:pPr>
        <w:jc w:val="center"/>
        <w:rPr>
          <w:b/>
        </w:rPr>
      </w:pPr>
    </w:p>
    <w:p>
      <w:pPr>
        <w:adjustRightInd w:val="0"/>
        <w:snapToGrid w:val="0"/>
        <w:spacing w:line="360" w:lineRule="auto"/>
        <w:ind w:firstLine="570"/>
        <w:rPr>
          <w:rFonts w:eastAsia="仿宋_GB2312"/>
          <w:sz w:val="24"/>
        </w:rPr>
      </w:pPr>
      <w:r>
        <w:rPr>
          <w:rFonts w:hint="eastAsia" w:eastAsia="仿宋_GB2312"/>
          <w:sz w:val="24"/>
        </w:rPr>
        <w:t>评分方法和评分指标：公益招投标的评分方法采用百分制计分法</w:t>
      </w:r>
      <w:r>
        <w:rPr>
          <w:rFonts w:hint="eastAsia" w:ascii="仿宋_GB2312" w:hAnsi="仿宋" w:eastAsia="仿宋_GB2312"/>
          <w:sz w:val="28"/>
        </w:rPr>
        <w:t>，</w:t>
      </w:r>
      <w:r>
        <w:rPr>
          <w:rFonts w:hint="eastAsia" w:eastAsia="仿宋_GB2312"/>
          <w:sz w:val="24"/>
        </w:rPr>
        <w:t>在最大限度地满足招标文件实质性要求前提下，按照招标文件中规定的各项指标进行综合评审后，以评标总得分高低进行排名。其中，“一、书面初审；二、组织能力；三、实施方案；四、管理方案”总分值为</w:t>
      </w:r>
      <w:r>
        <w:rPr>
          <w:rFonts w:eastAsia="仿宋_GB2312"/>
          <w:sz w:val="24"/>
        </w:rPr>
        <w:t>90</w:t>
      </w:r>
      <w:r>
        <w:rPr>
          <w:rFonts w:hint="eastAsia" w:eastAsia="仿宋_GB2312"/>
          <w:sz w:val="24"/>
        </w:rPr>
        <w:t>分，由评标委员会成员以记名方式独立打分，以每一评委所给分数的简单算术平均数作为投标人该指标的实际得分；“五、投标报价”分值为</w:t>
      </w:r>
      <w:r>
        <w:rPr>
          <w:rFonts w:eastAsia="仿宋_GB2312"/>
          <w:sz w:val="24"/>
        </w:rPr>
        <w:t>10</w:t>
      </w:r>
      <w:r>
        <w:rPr>
          <w:rFonts w:hint="eastAsia" w:eastAsia="仿宋_GB2312"/>
          <w:sz w:val="24"/>
        </w:rPr>
        <w:t>分，由招标代理方工作人员根据规定直接计分，并在评审结束后报请评标委员会审核确认。最终得分即为：评标总得分＝评标委员会打分</w:t>
      </w:r>
      <w:r>
        <w:rPr>
          <w:rFonts w:eastAsia="仿宋_GB2312"/>
          <w:sz w:val="24"/>
        </w:rPr>
        <w:t>+</w:t>
      </w:r>
      <w:r>
        <w:rPr>
          <w:rFonts w:hint="eastAsia" w:eastAsia="仿宋_GB2312"/>
          <w:sz w:val="24"/>
        </w:rPr>
        <w:t>投标报价分。</w:t>
      </w:r>
    </w:p>
    <w:p>
      <w:pPr>
        <w:adjustRightInd w:val="0"/>
        <w:snapToGrid w:val="0"/>
        <w:spacing w:line="360" w:lineRule="auto"/>
        <w:rPr>
          <w:rFonts w:eastAsia="仿宋_GB2312"/>
          <w:sz w:val="24"/>
        </w:rPr>
      </w:pPr>
      <w:r>
        <w:rPr>
          <w:rFonts w:eastAsia="仿宋_GB2312"/>
          <w:sz w:val="24"/>
        </w:rPr>
        <w:t xml:space="preserve">    </w:t>
      </w:r>
      <w:r>
        <w:rPr>
          <w:rFonts w:hint="eastAsia" w:eastAsia="仿宋_GB2312"/>
          <w:sz w:val="24"/>
        </w:rPr>
        <w:t>基准价为所有有效投标报价的算术平均值；投标报价为投标人向招标人提交的正式报价，《开标一览表》、《投标函》与《项目预算表》报价不一致时，以《开标一览表》中的投标报价为准。</w:t>
      </w:r>
    </w:p>
    <w:p>
      <w:pPr>
        <w:pStyle w:val="3"/>
        <w:spacing w:line="360" w:lineRule="auto"/>
        <w:ind w:firstLine="480" w:firstLineChars="200"/>
        <w:rPr>
          <w:rFonts w:hint="default" w:ascii="Times New Roman" w:eastAsia="仿宋_GB2312"/>
          <w:color w:val="0000FF"/>
          <w:sz w:val="24"/>
        </w:rPr>
      </w:pPr>
      <w:r>
        <w:rPr>
          <w:rFonts w:ascii="Times New Roman" w:eastAsia="仿宋_GB2312"/>
          <w:sz w:val="24"/>
        </w:rPr>
        <w:t>评分指标包括以下几方面，以供参照。</w:t>
      </w:r>
    </w:p>
    <w:tbl>
      <w:tblPr>
        <w:tblStyle w:val="9"/>
        <w:tblW w:w="8820" w:type="dxa"/>
        <w:tblInd w:w="-1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5"/>
        <w:gridCol w:w="1065"/>
        <w:gridCol w:w="1605"/>
        <w:gridCol w:w="49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18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sz w:val="24"/>
              </w:rPr>
            </w:pPr>
            <w:r>
              <w:rPr>
                <w:rFonts w:hint="eastAsia" w:ascii="黑体" w:hAnsi="黑体" w:eastAsia="黑体"/>
                <w:sz w:val="24"/>
              </w:rPr>
              <w:t>废标要素</w:t>
            </w:r>
          </w:p>
        </w:tc>
        <w:tc>
          <w:tcPr>
            <w:tcW w:w="7635" w:type="dxa"/>
            <w:gridSpan w:val="3"/>
            <w:tcBorders>
              <w:top w:val="single" w:color="auto" w:sz="4" w:space="0"/>
              <w:left w:val="single" w:color="auto" w:sz="4" w:space="0"/>
              <w:bottom w:val="single" w:color="auto" w:sz="4" w:space="0"/>
              <w:right w:val="single" w:color="auto" w:sz="4" w:space="0"/>
            </w:tcBorders>
            <w:noWrap w:val="0"/>
            <w:vAlign w:val="top"/>
          </w:tcPr>
          <w:p>
            <w:pPr>
              <w:adjustRightInd w:val="0"/>
              <w:snapToGrid w:val="0"/>
              <w:spacing w:line="360" w:lineRule="auto"/>
              <w:rPr>
                <w:rFonts w:ascii="仿宋_GB2312" w:hAnsi="仿宋" w:eastAsia="仿宋_GB2312"/>
                <w:sz w:val="24"/>
              </w:rPr>
            </w:pPr>
            <w:r>
              <w:rPr>
                <w:rFonts w:hint="eastAsia" w:ascii="仿宋_GB2312" w:hAnsi="仿宋" w:eastAsia="仿宋_GB2312"/>
                <w:sz w:val="24"/>
              </w:rPr>
              <w:t>*《开标一览表》中的投标报价高于项目最高限价</w:t>
            </w:r>
          </w:p>
          <w:p>
            <w:pPr>
              <w:adjustRightInd w:val="0"/>
              <w:snapToGrid w:val="0"/>
              <w:spacing w:line="360" w:lineRule="auto"/>
              <w:rPr>
                <w:rFonts w:ascii="仿宋_GB2312" w:hAnsi="仿宋" w:eastAsia="仿宋_GB2312"/>
                <w:sz w:val="24"/>
              </w:rPr>
            </w:pPr>
            <w:r>
              <w:rPr>
                <w:rFonts w:hint="eastAsia" w:ascii="仿宋_GB2312" w:hAnsi="仿宋" w:eastAsia="仿宋_GB2312"/>
                <w:sz w:val="24"/>
              </w:rPr>
              <w:t>*投标文件章节严重缺失不完整</w:t>
            </w:r>
          </w:p>
          <w:p>
            <w:pPr>
              <w:adjustRightInd w:val="0"/>
              <w:snapToGrid w:val="0"/>
              <w:spacing w:line="360" w:lineRule="auto"/>
              <w:rPr>
                <w:rFonts w:ascii="仿宋_GB2312" w:hAnsi="仿宋" w:eastAsia="仿宋_GB2312"/>
                <w:sz w:val="24"/>
              </w:rPr>
            </w:pPr>
            <w:r>
              <w:rPr>
                <w:rFonts w:hint="eastAsia" w:ascii="仿宋_GB2312" w:hAnsi="仿宋" w:eastAsia="仿宋_GB2312"/>
                <w:sz w:val="24"/>
              </w:rPr>
              <w:t>*相关资格证明文件不能提供或不具备投标资格</w:t>
            </w:r>
          </w:p>
          <w:p>
            <w:pPr>
              <w:adjustRightInd w:val="0"/>
              <w:snapToGrid w:val="0"/>
              <w:spacing w:line="360" w:lineRule="auto"/>
              <w:rPr>
                <w:rFonts w:ascii="仿宋_GB2312" w:hAnsi="仿宋" w:eastAsia="仿宋_GB2312"/>
                <w:sz w:val="24"/>
              </w:rPr>
            </w:pPr>
            <w:r>
              <w:rPr>
                <w:rFonts w:hint="eastAsia" w:ascii="仿宋_GB2312" w:hAnsi="仿宋" w:eastAsia="仿宋_GB2312"/>
                <w:sz w:val="24"/>
              </w:rPr>
              <w:t>*投标方案未实质性响应招标文件“服务要求”</w:t>
            </w:r>
          </w:p>
          <w:p>
            <w:pPr>
              <w:adjustRightInd w:val="0"/>
              <w:snapToGrid w:val="0"/>
              <w:spacing w:line="360" w:lineRule="auto"/>
              <w:rPr>
                <w:rFonts w:ascii="仿宋_GB2312" w:hAnsi="仿宋" w:eastAsia="仿宋_GB2312"/>
                <w:b/>
                <w:sz w:val="24"/>
              </w:rPr>
            </w:pPr>
            <w:r>
              <w:rPr>
                <w:rFonts w:hint="eastAsia" w:ascii="仿宋_GB2312" w:hAnsi="仿宋" w:eastAsia="仿宋_GB2312"/>
                <w:b/>
                <w:sz w:val="24"/>
              </w:rPr>
              <w:t>以上要素若出现其一即为废标，以下指标无须打分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8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ascii="黑体" w:hAnsi="仿宋" w:eastAsia="黑体"/>
                <w:sz w:val="24"/>
              </w:rPr>
            </w:pPr>
            <w:r>
              <w:rPr>
                <w:rFonts w:hint="eastAsia" w:ascii="黑体" w:hAnsi="仿宋" w:eastAsia="黑体"/>
                <w:sz w:val="24"/>
              </w:rPr>
              <w:t>一级指标</w:t>
            </w: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ascii="黑体" w:hAnsi="仿宋" w:eastAsia="黑体"/>
                <w:sz w:val="24"/>
              </w:rPr>
            </w:pPr>
            <w:r>
              <w:rPr>
                <w:rFonts w:hint="eastAsia" w:ascii="黑体" w:hAnsi="仿宋" w:eastAsia="黑体"/>
                <w:sz w:val="24"/>
              </w:rPr>
              <w:t>二级指标</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ascii="黑体" w:hAnsi="仿宋" w:eastAsia="黑体"/>
                <w:sz w:val="24"/>
              </w:rPr>
            </w:pPr>
            <w:r>
              <w:rPr>
                <w:rFonts w:hint="eastAsia" w:ascii="黑体" w:hAnsi="仿宋" w:eastAsia="黑体"/>
                <w:sz w:val="24"/>
              </w:rPr>
              <w:t>指标说明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16" w:hRule="atLeast"/>
        </w:trPr>
        <w:tc>
          <w:tcPr>
            <w:tcW w:w="118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r>
              <w:rPr>
                <w:rFonts w:hint="eastAsia" w:ascii="宋体" w:hAnsi="宋体"/>
                <w:b/>
                <w:sz w:val="24"/>
              </w:rPr>
              <w:t>一、</w:t>
            </w:r>
          </w:p>
          <w:p>
            <w:pPr>
              <w:adjustRightInd w:val="0"/>
              <w:snapToGrid w:val="0"/>
              <w:spacing w:line="360" w:lineRule="auto"/>
              <w:jc w:val="center"/>
              <w:rPr>
                <w:rFonts w:hint="eastAsia"/>
                <w:b/>
                <w:sz w:val="24"/>
              </w:rPr>
            </w:pPr>
            <w:r>
              <w:rPr>
                <w:rFonts w:hint="eastAsia" w:ascii="宋体" w:hAnsi="宋体"/>
                <w:b/>
                <w:sz w:val="24"/>
              </w:rPr>
              <w:t>书面初审（5）</w:t>
            </w: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r>
              <w:rPr>
                <w:rFonts w:hint="eastAsia" w:ascii="宋体" w:hAnsi="宋体"/>
                <w:b/>
                <w:sz w:val="24"/>
              </w:rPr>
              <w:t>1、准确性和完整性</w:t>
            </w:r>
          </w:p>
          <w:p>
            <w:pPr>
              <w:adjustRightInd w:val="0"/>
              <w:snapToGrid w:val="0"/>
              <w:spacing w:line="360" w:lineRule="auto"/>
              <w:jc w:val="center"/>
              <w:rPr>
                <w:rFonts w:hint="eastAsia"/>
                <w:b/>
                <w:sz w:val="24"/>
              </w:rPr>
            </w:pPr>
            <w:r>
              <w:rPr>
                <w:rFonts w:hint="eastAsia" w:ascii="宋体" w:hAnsi="宋体"/>
                <w:b/>
                <w:sz w:val="24"/>
              </w:rPr>
              <w:t>（5）</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仿宋_GB2312" w:hAnsi="仿宋" w:eastAsia="仿宋_GB2312"/>
                <w:sz w:val="24"/>
              </w:rPr>
            </w:pPr>
            <w:r>
              <w:rPr>
                <w:rFonts w:hint="eastAsia" w:ascii="仿宋_GB2312" w:hAnsi="仿宋" w:eastAsia="仿宋_GB2312"/>
                <w:sz w:val="24"/>
              </w:rPr>
              <w:t>*投标人名称前后不一致</w:t>
            </w:r>
          </w:p>
          <w:p>
            <w:pPr>
              <w:adjustRightInd w:val="0"/>
              <w:snapToGrid w:val="0"/>
              <w:spacing w:line="360" w:lineRule="auto"/>
              <w:rPr>
                <w:rFonts w:ascii="仿宋_GB2312" w:hAnsi="仿宋" w:eastAsia="仿宋_GB2312"/>
                <w:sz w:val="24"/>
              </w:rPr>
            </w:pPr>
            <w:r>
              <w:rPr>
                <w:rFonts w:hint="eastAsia" w:ascii="仿宋_GB2312" w:hAnsi="仿宋" w:eastAsia="仿宋_GB2312"/>
                <w:sz w:val="24"/>
              </w:rPr>
              <w:t>*投标报价前后不一致</w:t>
            </w:r>
          </w:p>
          <w:p>
            <w:pPr>
              <w:adjustRightInd w:val="0"/>
              <w:snapToGrid w:val="0"/>
              <w:spacing w:line="360" w:lineRule="auto"/>
              <w:rPr>
                <w:rFonts w:ascii="仿宋_GB2312" w:hAnsi="仿宋" w:eastAsia="仿宋_GB2312"/>
                <w:sz w:val="24"/>
              </w:rPr>
            </w:pPr>
            <w:r>
              <w:rPr>
                <w:rFonts w:hint="eastAsia" w:ascii="仿宋_GB2312" w:hAnsi="仿宋" w:eastAsia="仿宋_GB2312"/>
                <w:sz w:val="24"/>
              </w:rPr>
              <w:t>*《投标函》和《开标一览表》应填部分填写错误或缺失</w:t>
            </w:r>
          </w:p>
          <w:p>
            <w:pPr>
              <w:adjustRightInd w:val="0"/>
              <w:snapToGrid w:val="0"/>
              <w:spacing w:line="360" w:lineRule="auto"/>
              <w:rPr>
                <w:rFonts w:ascii="仿宋_GB2312" w:hAnsi="仿宋" w:eastAsia="仿宋_GB2312"/>
                <w:sz w:val="24"/>
              </w:rPr>
            </w:pPr>
            <w:r>
              <w:rPr>
                <w:rFonts w:hint="eastAsia" w:ascii="仿宋_GB2312" w:hAnsi="仿宋" w:eastAsia="仿宋_GB2312"/>
                <w:sz w:val="24"/>
              </w:rPr>
              <w:t>*未按要求签字盖章</w:t>
            </w:r>
          </w:p>
          <w:p>
            <w:pPr>
              <w:adjustRightInd w:val="0"/>
              <w:snapToGrid w:val="0"/>
              <w:spacing w:line="360" w:lineRule="auto"/>
              <w:rPr>
                <w:rFonts w:ascii="仿宋_GB2312" w:hAnsi="仿宋" w:eastAsia="仿宋_GB2312"/>
                <w:sz w:val="24"/>
              </w:rPr>
            </w:pPr>
            <w:r>
              <w:rPr>
                <w:rFonts w:hint="eastAsia" w:ascii="仿宋_GB2312" w:hAnsi="仿宋" w:eastAsia="仿宋_GB2312"/>
                <w:sz w:val="24"/>
              </w:rPr>
              <w:t>*预算明细总和与总价不一致</w:t>
            </w:r>
          </w:p>
          <w:p>
            <w:pPr>
              <w:adjustRightInd w:val="0"/>
              <w:snapToGrid w:val="0"/>
              <w:spacing w:line="360" w:lineRule="auto"/>
              <w:rPr>
                <w:rFonts w:ascii="仿宋_GB2312" w:hAnsi="仿宋" w:eastAsia="仿宋_GB2312"/>
                <w:sz w:val="24"/>
              </w:rPr>
            </w:pPr>
            <w:r>
              <w:rPr>
                <w:rFonts w:hint="eastAsia" w:ascii="仿宋_GB2312" w:hAnsi="仿宋" w:eastAsia="仿宋_GB2312"/>
                <w:sz w:val="24"/>
              </w:rPr>
              <w:t>*实施方案细目应附预算缺失或与《项目预算表》不一致</w:t>
            </w:r>
          </w:p>
          <w:p>
            <w:pPr>
              <w:adjustRightInd w:val="0"/>
              <w:snapToGrid w:val="0"/>
              <w:spacing w:line="360" w:lineRule="auto"/>
              <w:rPr>
                <w:rFonts w:ascii="仿宋_GB2312" w:hAnsi="仿宋" w:eastAsia="仿宋_GB2312"/>
                <w:sz w:val="24"/>
              </w:rPr>
            </w:pPr>
            <w:r>
              <w:rPr>
                <w:rFonts w:hint="eastAsia" w:ascii="仿宋_GB2312" w:hAnsi="仿宋" w:eastAsia="仿宋_GB2312"/>
                <w:sz w:val="24"/>
              </w:rPr>
              <w:t>*其他（除“相关资格证明文件不能提供或不具备投标资格”中规定的资格证明文件之外的其他应附附件缺失、《项目预算表》中管理费用超过业务活动费的10%、有合作机构但未填写合作机构</w:t>
            </w:r>
            <w:r>
              <w:rPr>
                <w:rFonts w:hint="eastAsia" w:ascii="仿宋_GB2312" w:hAnsi="仿宋_GB2312" w:eastAsia="仿宋_GB2312"/>
                <w:sz w:val="24"/>
              </w:rPr>
              <w:t>情况</w:t>
            </w:r>
            <w:r>
              <w:rPr>
                <w:rFonts w:hint="eastAsia" w:ascii="仿宋_GB2312" w:hAnsi="仿宋" w:eastAsia="仿宋_GB2312"/>
                <w:sz w:val="24"/>
              </w:rPr>
              <w:t>简介等）</w:t>
            </w:r>
          </w:p>
          <w:p>
            <w:pPr>
              <w:adjustRightInd w:val="0"/>
              <w:snapToGrid w:val="0"/>
              <w:spacing w:line="360" w:lineRule="auto"/>
              <w:rPr>
                <w:rFonts w:ascii="仿宋_GB2312" w:hAnsi="仿宋" w:eastAsia="仿宋_GB2312"/>
                <w:sz w:val="24"/>
              </w:rPr>
            </w:pPr>
            <w:r>
              <w:rPr>
                <w:rFonts w:hint="eastAsia" w:ascii="仿宋_GB2312" w:hAnsi="仿宋" w:eastAsia="仿宋_GB2312"/>
                <w:b/>
                <w:sz w:val="24"/>
              </w:rPr>
              <w:t>以上要素每出现一项，“书面初审”扣2分，上限5分。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r>
              <w:rPr>
                <w:rFonts w:hint="eastAsia" w:ascii="宋体" w:hAnsi="宋体"/>
                <w:b/>
                <w:sz w:val="24"/>
              </w:rPr>
              <w:t>二、</w:t>
            </w:r>
          </w:p>
          <w:p>
            <w:pPr>
              <w:adjustRightInd w:val="0"/>
              <w:snapToGrid w:val="0"/>
              <w:spacing w:line="360" w:lineRule="auto"/>
              <w:jc w:val="center"/>
              <w:rPr>
                <w:rFonts w:hint="eastAsia"/>
                <w:b/>
                <w:sz w:val="24"/>
              </w:rPr>
            </w:pPr>
            <w:r>
              <w:rPr>
                <w:rFonts w:hint="eastAsia" w:ascii="宋体" w:hAnsi="宋体"/>
                <w:b/>
                <w:sz w:val="24"/>
              </w:rPr>
              <w:t>组织能力</w:t>
            </w:r>
          </w:p>
          <w:p>
            <w:pPr>
              <w:adjustRightInd w:val="0"/>
              <w:snapToGrid w:val="0"/>
              <w:spacing w:line="360" w:lineRule="auto"/>
              <w:jc w:val="center"/>
              <w:rPr>
                <w:rFonts w:hint="eastAsia"/>
                <w:b/>
                <w:sz w:val="24"/>
              </w:rPr>
            </w:pPr>
            <w:r>
              <w:rPr>
                <w:rFonts w:hint="eastAsia" w:ascii="宋体" w:hAnsi="宋体"/>
                <w:b/>
                <w:sz w:val="24"/>
              </w:rPr>
              <w:t>（15）</w:t>
            </w: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r>
              <w:rPr>
                <w:rFonts w:hint="eastAsia" w:ascii="宋体" w:hAnsi="宋体"/>
                <w:b/>
                <w:sz w:val="24"/>
              </w:rPr>
              <w:t>2、组织资质</w:t>
            </w:r>
          </w:p>
          <w:p>
            <w:pPr>
              <w:adjustRightInd w:val="0"/>
              <w:snapToGrid w:val="0"/>
              <w:spacing w:line="360" w:lineRule="auto"/>
              <w:jc w:val="center"/>
              <w:rPr>
                <w:rFonts w:hint="eastAsia"/>
                <w:b/>
                <w:sz w:val="24"/>
              </w:rPr>
            </w:pPr>
            <w:r>
              <w:rPr>
                <w:rFonts w:hint="eastAsia" w:ascii="宋体" w:hAnsi="宋体"/>
                <w:b/>
                <w:sz w:val="24"/>
              </w:rPr>
              <w:t>（3）</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hint="eastAsia"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成立时间长</w:t>
            </w:r>
          </w:p>
          <w:p>
            <w:pPr>
              <w:adjustRightInd w:val="0"/>
              <w:snapToGrid w:val="0"/>
              <w:spacing w:line="360" w:lineRule="auto"/>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机构架构图清晰，</w:t>
            </w:r>
            <w:r>
              <w:rPr>
                <w:rFonts w:hint="eastAsia" w:ascii="仿宋_GB2312" w:hAnsi="仿宋_GB2312" w:eastAsia="仿宋_GB2312"/>
                <w:sz w:val="24"/>
              </w:rPr>
              <w:t>包括理事会、核心领导层、机构总人数、社工人数等</w:t>
            </w:r>
          </w:p>
          <w:p>
            <w:pPr>
              <w:adjustRightInd w:val="0"/>
              <w:snapToGrid w:val="0"/>
              <w:spacing w:line="360" w:lineRule="auto"/>
              <w:rPr>
                <w:rFonts w:ascii="仿宋_GB2312" w:hAnsi="仿宋_GB2312" w:eastAsia="仿宋_GB2312"/>
                <w:sz w:val="24"/>
              </w:rPr>
            </w:pPr>
            <w:r>
              <w:rPr>
                <w:rFonts w:ascii="仿宋_GB2312" w:hAnsi="仿宋" w:eastAsia="仿宋_GB2312"/>
                <w:sz w:val="24"/>
              </w:rPr>
              <w:sym w:font="Wingdings" w:char="0083"/>
            </w:r>
            <w:r>
              <w:rPr>
                <w:rFonts w:hint="eastAsia" w:ascii="仿宋_GB2312" w:hAnsi="仿宋" w:eastAsia="仿宋_GB2312"/>
                <w:sz w:val="24"/>
              </w:rPr>
              <w:t>业务范围或组织宗旨与本项目适应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89"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sz w:val="24"/>
              </w:rPr>
            </w:pP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r>
              <w:rPr>
                <w:rFonts w:hint="eastAsia" w:ascii="宋体" w:hAnsi="宋体"/>
                <w:b/>
                <w:sz w:val="24"/>
              </w:rPr>
              <w:t>3、专业优势</w:t>
            </w:r>
          </w:p>
          <w:p>
            <w:pPr>
              <w:adjustRightInd w:val="0"/>
              <w:snapToGrid w:val="0"/>
              <w:spacing w:line="360" w:lineRule="auto"/>
              <w:jc w:val="center"/>
              <w:rPr>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left"/>
              <w:rPr>
                <w:rFonts w:ascii="仿宋_GB2312" w:hAnsi="仿宋" w:eastAsia="仿宋_GB2312"/>
                <w:sz w:val="24"/>
              </w:rPr>
            </w:pPr>
            <w:r>
              <w:rPr>
                <w:rFonts w:hint="eastAsia" w:ascii="仿宋_GB2312" w:hAnsi="仿宋" w:eastAsia="仿宋_GB2312"/>
                <w:sz w:val="24"/>
              </w:rPr>
              <w:t>投标人在本项目涉及领域内的优势（如人员优势、资源整合优势、实务操作优势等）是否明显，是否有利于顺利实施本项目。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sz w:val="24"/>
              </w:rPr>
            </w:pP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r>
              <w:rPr>
                <w:rFonts w:hint="eastAsia" w:ascii="宋体" w:hAnsi="宋体"/>
                <w:b/>
                <w:sz w:val="24"/>
              </w:rPr>
              <w:t>4、项目经验</w:t>
            </w:r>
          </w:p>
          <w:p>
            <w:pPr>
              <w:adjustRightInd w:val="0"/>
              <w:snapToGrid w:val="0"/>
              <w:spacing w:line="360" w:lineRule="auto"/>
              <w:jc w:val="center"/>
              <w:rPr>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有同类项目运作经验</w:t>
            </w:r>
          </w:p>
          <w:p>
            <w:pPr>
              <w:adjustRightInd w:val="0"/>
              <w:snapToGrid w:val="0"/>
              <w:spacing w:line="360" w:lineRule="auto"/>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项目运作经验丰富</w:t>
            </w:r>
          </w:p>
          <w:p>
            <w:pPr>
              <w:adjustRightInd w:val="0"/>
              <w:snapToGrid w:val="0"/>
              <w:spacing w:line="360" w:lineRule="auto"/>
              <w:rPr>
                <w:rFonts w:ascii="仿宋_GB2312" w:hAnsi="仿宋_GB2312" w:eastAsia="仿宋_GB2312"/>
                <w:sz w:val="24"/>
              </w:rPr>
            </w:pPr>
            <w:r>
              <w:rPr>
                <w:rFonts w:ascii="仿宋_GB2312" w:hAnsi="仿宋" w:eastAsia="仿宋_GB2312"/>
                <w:sz w:val="24"/>
              </w:rPr>
              <w:sym w:font="Wingdings" w:char="0083"/>
            </w:r>
            <w:r>
              <w:rPr>
                <w:rFonts w:hint="eastAsia" w:ascii="仿宋_GB2312" w:hAnsi="仿宋" w:eastAsia="仿宋_GB2312"/>
                <w:sz w:val="24"/>
              </w:rPr>
              <w:t>有项目获奖经历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8" w:hRule="atLeast"/>
        </w:trPr>
        <w:tc>
          <w:tcPr>
            <w:tcW w:w="1185"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r>
              <w:rPr>
                <w:rFonts w:hint="eastAsia" w:ascii="宋体" w:hAnsi="宋体"/>
                <w:b/>
                <w:sz w:val="24"/>
              </w:rPr>
              <w:t>三、</w:t>
            </w:r>
          </w:p>
          <w:p>
            <w:pPr>
              <w:adjustRightInd w:val="0"/>
              <w:snapToGrid w:val="0"/>
              <w:spacing w:line="360" w:lineRule="auto"/>
              <w:jc w:val="center"/>
              <w:rPr>
                <w:rFonts w:hint="eastAsia"/>
                <w:b/>
                <w:sz w:val="24"/>
              </w:rPr>
            </w:pPr>
            <w:r>
              <w:rPr>
                <w:rFonts w:hint="eastAsia" w:ascii="宋体" w:hAnsi="宋体"/>
                <w:b/>
                <w:sz w:val="24"/>
              </w:rPr>
              <w:t>实施方案</w:t>
            </w:r>
          </w:p>
          <w:p>
            <w:pPr>
              <w:adjustRightInd w:val="0"/>
              <w:snapToGrid w:val="0"/>
              <w:spacing w:line="360" w:lineRule="auto"/>
              <w:jc w:val="center"/>
              <w:rPr>
                <w:rFonts w:hint="eastAsia"/>
                <w:b/>
                <w:sz w:val="24"/>
              </w:rPr>
            </w:pPr>
            <w:r>
              <w:rPr>
                <w:rFonts w:hint="eastAsia" w:ascii="宋体" w:hAnsi="宋体"/>
                <w:b/>
                <w:sz w:val="24"/>
              </w:rPr>
              <w:t>（46）</w:t>
            </w:r>
          </w:p>
        </w:tc>
        <w:tc>
          <w:tcPr>
            <w:tcW w:w="1065"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r>
              <w:rPr>
                <w:rFonts w:hint="eastAsia" w:ascii="宋体" w:hAnsi="宋体"/>
                <w:b/>
                <w:sz w:val="24"/>
              </w:rPr>
              <w:t>实施计划子项目（活动）描述</w:t>
            </w:r>
          </w:p>
          <w:p>
            <w:pPr>
              <w:adjustRightInd w:val="0"/>
              <w:snapToGrid w:val="0"/>
              <w:spacing w:line="360" w:lineRule="auto"/>
              <w:jc w:val="center"/>
              <w:rPr>
                <w:rFonts w:hint="eastAsia"/>
                <w:b/>
                <w:sz w:val="24"/>
              </w:rPr>
            </w:pPr>
          </w:p>
          <w:p>
            <w:pPr>
              <w:adjustRightInd w:val="0"/>
              <w:snapToGrid w:val="0"/>
              <w:spacing w:line="360" w:lineRule="auto"/>
              <w:jc w:val="center"/>
              <w:rPr>
                <w:rFonts w:hint="eastAsia"/>
                <w:b/>
                <w:sz w:val="24"/>
              </w:rPr>
            </w:pPr>
            <w:r>
              <w:rPr>
                <w:rFonts w:hint="eastAsia" w:ascii="宋体" w:hAnsi="宋体"/>
                <w:b/>
                <w:sz w:val="24"/>
              </w:rPr>
              <w:t>（24）</w:t>
            </w:r>
          </w:p>
          <w:p>
            <w:pPr>
              <w:adjustRightInd w:val="0"/>
              <w:snapToGrid w:val="0"/>
              <w:spacing w:line="360" w:lineRule="auto"/>
              <w:rPr>
                <w:rFonts w:hint="eastAsia"/>
                <w:sz w:val="24"/>
              </w:rPr>
            </w:pPr>
          </w:p>
        </w:tc>
        <w:tc>
          <w:tcPr>
            <w:tcW w:w="160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r>
              <w:rPr>
                <w:rFonts w:hint="eastAsia" w:ascii="宋体" w:hAnsi="宋体"/>
                <w:b/>
                <w:sz w:val="24"/>
              </w:rPr>
              <w:t>5、实施内容</w:t>
            </w:r>
          </w:p>
          <w:p>
            <w:pPr>
              <w:adjustRightInd w:val="0"/>
              <w:snapToGrid w:val="0"/>
              <w:spacing w:line="360" w:lineRule="auto"/>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left"/>
              <w:rPr>
                <w:rFonts w:ascii="仿宋_GB2312" w:hAnsi="仿宋" w:eastAsia="仿宋_GB2312"/>
                <w:sz w:val="24"/>
              </w:rPr>
            </w:pPr>
            <w:r>
              <w:rPr>
                <w:rFonts w:hint="eastAsia" w:ascii="仿宋_GB2312" w:hAnsi="仿宋" w:eastAsia="仿宋_GB2312"/>
                <w:sz w:val="24"/>
              </w:rPr>
              <w:t>子项目（活动）内容是否详细完整。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p>
        </w:tc>
        <w:tc>
          <w:tcPr>
            <w:tcW w:w="160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hint="eastAsia"/>
                <w:b/>
                <w:sz w:val="24"/>
              </w:rPr>
            </w:pPr>
            <w:r>
              <w:rPr>
                <w:rFonts w:hint="eastAsia" w:ascii="宋体" w:hAnsi="宋体"/>
                <w:b/>
                <w:sz w:val="24"/>
              </w:rPr>
              <w:t>6、基本要素</w:t>
            </w:r>
          </w:p>
          <w:p>
            <w:pPr>
              <w:adjustRightInd w:val="0"/>
              <w:snapToGrid w:val="0"/>
              <w:spacing w:line="360" w:lineRule="auto"/>
              <w:jc w:val="center"/>
              <w:rPr>
                <w:rFonts w:hint="eastAsia"/>
                <w:b/>
                <w:sz w:val="24"/>
              </w:rPr>
            </w:pPr>
            <w:r>
              <w:rPr>
                <w:rFonts w:hint="eastAsia" w:ascii="宋体" w:hAnsi="宋体"/>
                <w:b/>
                <w:sz w:val="24"/>
              </w:rPr>
              <w:t>（2）</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lef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子项目（活动）实施时间明确</w:t>
            </w:r>
          </w:p>
          <w:p>
            <w:pPr>
              <w:adjustRightInd w:val="0"/>
              <w:snapToGrid w:val="0"/>
              <w:spacing w:line="360" w:lineRule="auto"/>
              <w:jc w:val="left"/>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子项目（活动）实施地点明确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p>
        </w:tc>
        <w:tc>
          <w:tcPr>
            <w:tcW w:w="160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r>
              <w:rPr>
                <w:rFonts w:hint="eastAsia" w:ascii="宋体" w:hAnsi="宋体"/>
                <w:b/>
                <w:sz w:val="24"/>
              </w:rPr>
              <w:t>7、服务频次（2）</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仿宋_GB2312" w:hAnsi="仿宋" w:eastAsia="仿宋_GB2312"/>
                <w:sz w:val="24"/>
              </w:rPr>
            </w:pPr>
            <w:r>
              <w:rPr>
                <w:rFonts w:hint="eastAsia" w:ascii="仿宋_GB2312" w:hAnsi="仿宋" w:eastAsia="仿宋_GB2312"/>
                <w:sz w:val="24"/>
              </w:rPr>
              <w:t>子项目（活动）服务频次合计数是否满足服务要求。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p>
        </w:tc>
        <w:tc>
          <w:tcPr>
            <w:tcW w:w="1605" w:type="dxa"/>
            <w:tcBorders>
              <w:top w:val="single" w:color="auto" w:sz="4" w:space="0"/>
              <w:left w:val="single" w:color="auto" w:sz="4" w:space="0"/>
              <w:bottom w:val="single" w:color="auto" w:sz="4" w:space="0"/>
              <w:right w:val="single" w:color="auto" w:sz="4" w:space="0"/>
            </w:tcBorders>
            <w:noWrap w:val="0"/>
            <w:vAlign w:val="center"/>
          </w:tcPr>
          <w:p>
            <w:pPr>
              <w:numPr>
                <w:ilvl w:val="0"/>
                <w:numId w:val="2"/>
              </w:numPr>
              <w:adjustRightInd w:val="0"/>
              <w:snapToGrid w:val="0"/>
              <w:spacing w:line="360" w:lineRule="auto"/>
              <w:jc w:val="center"/>
              <w:rPr>
                <w:rFonts w:hint="eastAsia"/>
                <w:b/>
                <w:sz w:val="24"/>
              </w:rPr>
            </w:pPr>
            <w:r>
              <w:rPr>
                <w:rFonts w:hint="eastAsia" w:ascii="宋体" w:hAnsi="宋体"/>
                <w:b/>
                <w:sz w:val="24"/>
              </w:rPr>
              <w:t>受益人群与人数</w:t>
            </w:r>
          </w:p>
          <w:p>
            <w:pPr>
              <w:adjustRightInd w:val="0"/>
              <w:snapToGrid w:val="0"/>
              <w:spacing w:line="360" w:lineRule="auto"/>
              <w:jc w:val="center"/>
              <w:rPr>
                <w:rFonts w:hint="eastAsia"/>
                <w:b/>
                <w:sz w:val="24"/>
              </w:rPr>
            </w:pPr>
            <w:r>
              <w:rPr>
                <w:rFonts w:hint="eastAsia" w:ascii="宋体" w:hAnsi="宋体"/>
                <w:b/>
                <w:sz w:val="24"/>
              </w:rPr>
              <w:t>（2）</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仿宋_GB2312" w:hAnsi="仿宋" w:eastAsia="仿宋_GB2312"/>
                <w:sz w:val="24"/>
              </w:rPr>
            </w:pPr>
            <w:r>
              <w:rPr>
                <w:rFonts w:hint="eastAsia" w:ascii="仿宋_GB2312" w:hAnsi="仿宋" w:eastAsia="仿宋_GB2312"/>
                <w:sz w:val="24"/>
              </w:rPr>
              <w:t>子项目（活动）受益人群与人数合计数是否满足服务要求。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p>
        </w:tc>
        <w:tc>
          <w:tcPr>
            <w:tcW w:w="160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r>
              <w:rPr>
                <w:rFonts w:hint="eastAsia" w:ascii="宋体" w:hAnsi="宋体"/>
                <w:b/>
                <w:sz w:val="24"/>
              </w:rPr>
              <w:t>9、人员配置</w:t>
            </w:r>
          </w:p>
          <w:p>
            <w:pPr>
              <w:adjustRightInd w:val="0"/>
              <w:snapToGrid w:val="0"/>
              <w:spacing w:line="360" w:lineRule="auto"/>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仿宋_GB2312" w:hAnsi="仿宋_GB2312" w:eastAsia="仿宋_GB2312"/>
                <w:sz w:val="24"/>
              </w:rPr>
            </w:pPr>
            <w:r>
              <w:rPr>
                <w:rFonts w:hint="eastAsia" w:ascii="仿宋_GB2312" w:hAnsi="仿宋" w:eastAsia="仿宋_GB2312"/>
                <w:sz w:val="24"/>
              </w:rPr>
              <w:t>子项目（活动）</w:t>
            </w:r>
            <w:r>
              <w:rPr>
                <w:rFonts w:hint="eastAsia" w:ascii="仿宋_GB2312" w:hAnsi="仿宋_GB2312" w:eastAsia="仿宋_GB2312"/>
                <w:sz w:val="24"/>
              </w:rPr>
              <w:t>人员配置</w:t>
            </w:r>
            <w:r>
              <w:rPr>
                <w:rFonts w:hint="eastAsia" w:ascii="仿宋_GB2312" w:hAnsi="仿宋" w:eastAsia="仿宋_GB2312"/>
                <w:sz w:val="24"/>
              </w:rPr>
              <w:t>是否</w:t>
            </w:r>
            <w:r>
              <w:rPr>
                <w:rFonts w:hint="eastAsia" w:ascii="仿宋_GB2312" w:hAnsi="仿宋_GB2312" w:eastAsia="仿宋_GB2312"/>
                <w:sz w:val="24"/>
              </w:rPr>
              <w:t>合理、具备可操作性</w:t>
            </w:r>
            <w:r>
              <w:rPr>
                <w:rFonts w:hint="eastAsia" w:ascii="仿宋_GB2312" w:hAnsi="仿宋" w:eastAsia="仿宋_GB2312"/>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28"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hint="eastAsia"/>
                <w:sz w:val="24"/>
              </w:rPr>
            </w:pPr>
          </w:p>
        </w:tc>
        <w:tc>
          <w:tcPr>
            <w:tcW w:w="160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r>
              <w:rPr>
                <w:rFonts w:hint="eastAsia" w:ascii="宋体" w:hAnsi="宋体"/>
                <w:b/>
                <w:sz w:val="24"/>
              </w:rPr>
              <w:t>10、资源配置</w:t>
            </w:r>
          </w:p>
          <w:p>
            <w:pPr>
              <w:adjustRightInd w:val="0"/>
              <w:snapToGrid w:val="0"/>
              <w:spacing w:line="360" w:lineRule="auto"/>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仿宋_GB2312" w:hAnsi="仿宋" w:eastAsia="仿宋_GB2312"/>
                <w:sz w:val="24"/>
              </w:rPr>
            </w:pPr>
            <w:r>
              <w:rPr>
                <w:rFonts w:hint="eastAsia" w:ascii="仿宋_GB2312" w:hAnsi="仿宋" w:eastAsia="仿宋_GB2312"/>
                <w:sz w:val="24"/>
              </w:rPr>
              <w:t>子项目（活动）</w:t>
            </w:r>
            <w:r>
              <w:rPr>
                <w:rFonts w:hint="eastAsia" w:ascii="仿宋_GB2312" w:hAnsi="仿宋_GB2312" w:eastAsia="仿宋_GB2312"/>
                <w:sz w:val="24"/>
              </w:rPr>
              <w:t>资源配置内容</w:t>
            </w:r>
            <w:r>
              <w:rPr>
                <w:rFonts w:hint="eastAsia" w:ascii="仿宋_GB2312" w:hAnsi="仿宋" w:eastAsia="仿宋_GB2312"/>
                <w:sz w:val="24"/>
              </w:rPr>
              <w:t>是否</w:t>
            </w:r>
            <w:r>
              <w:rPr>
                <w:rFonts w:hint="eastAsia" w:ascii="仿宋_GB2312" w:hAnsi="仿宋_GB2312" w:eastAsia="仿宋_GB2312"/>
                <w:sz w:val="24"/>
              </w:rPr>
              <w:t>合理、具备可操作性</w:t>
            </w:r>
            <w:r>
              <w:rPr>
                <w:rFonts w:hint="eastAsia" w:ascii="仿宋_GB2312" w:hAnsi="仿宋" w:eastAsia="仿宋_GB2312"/>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83"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p>
        </w:tc>
        <w:tc>
          <w:tcPr>
            <w:tcW w:w="106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hint="eastAsia"/>
                <w:sz w:val="24"/>
              </w:rPr>
            </w:pPr>
          </w:p>
        </w:tc>
        <w:tc>
          <w:tcPr>
            <w:tcW w:w="160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r>
              <w:rPr>
                <w:rFonts w:hint="eastAsia" w:ascii="宋体" w:hAnsi="宋体"/>
                <w:b/>
                <w:sz w:val="24"/>
              </w:rPr>
              <w:t>11、预算编制</w:t>
            </w:r>
          </w:p>
          <w:p>
            <w:pPr>
              <w:adjustRightInd w:val="0"/>
              <w:snapToGrid w:val="0"/>
              <w:spacing w:line="360" w:lineRule="auto"/>
              <w:jc w:val="center"/>
              <w:rPr>
                <w:rFonts w:hint="eastAsia"/>
                <w:b/>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left"/>
              <w:rPr>
                <w:rFonts w:ascii="仿宋_GB2312" w:hAnsi="仿宋" w:eastAsia="仿宋_GB2312"/>
                <w:sz w:val="24"/>
              </w:rPr>
            </w:pPr>
            <w:r>
              <w:rPr>
                <w:rFonts w:hint="eastAsia" w:ascii="仿宋_GB2312" w:hAnsi="仿宋" w:eastAsia="仿宋_GB2312"/>
                <w:sz w:val="24"/>
              </w:rPr>
              <w:t>实施方案经费预算编制是否合理（如服务单价、经费分配等）、有相关定价依据。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70"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numPr>
                <w:ilvl w:val="0"/>
                <w:numId w:val="3"/>
              </w:numPr>
              <w:adjustRightInd w:val="0"/>
              <w:snapToGrid w:val="0"/>
              <w:spacing w:line="360" w:lineRule="auto"/>
              <w:jc w:val="center"/>
              <w:rPr>
                <w:rFonts w:hint="eastAsia"/>
                <w:b/>
                <w:sz w:val="24"/>
              </w:rPr>
            </w:pPr>
            <w:r>
              <w:rPr>
                <w:rFonts w:hint="eastAsia" w:ascii="宋体" w:hAnsi="宋体"/>
                <w:b/>
                <w:sz w:val="24"/>
              </w:rPr>
              <w:t>设计合理性</w:t>
            </w:r>
          </w:p>
          <w:p>
            <w:pPr>
              <w:adjustRightInd w:val="0"/>
              <w:snapToGrid w:val="0"/>
              <w:spacing w:line="360" w:lineRule="auto"/>
              <w:jc w:val="center"/>
              <w:rPr>
                <w:rFonts w:hint="eastAsia"/>
                <w:b/>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left"/>
              <w:rPr>
                <w:rFonts w:ascii="仿宋_GB2312" w:hAnsi="仿宋_GB2312" w:eastAsia="仿宋_GB2312"/>
                <w:sz w:val="24"/>
              </w:rPr>
            </w:pPr>
            <w:r>
              <w:rPr>
                <w:rFonts w:ascii="仿宋_GB2312" w:hAnsi="仿宋" w:eastAsia="仿宋_GB2312"/>
                <w:sz w:val="24"/>
              </w:rPr>
              <w:sym w:font="Wingdings" w:char="0081"/>
            </w:r>
            <w:r>
              <w:rPr>
                <w:rFonts w:hint="eastAsia" w:ascii="仿宋_GB2312" w:hAnsi="仿宋_GB2312" w:eastAsia="仿宋_GB2312"/>
                <w:sz w:val="24"/>
              </w:rPr>
              <w:t>方案计划设计内容充实、具体</w:t>
            </w:r>
          </w:p>
          <w:p>
            <w:pPr>
              <w:adjustRightInd w:val="0"/>
              <w:snapToGrid w:val="0"/>
              <w:spacing w:line="360" w:lineRule="auto"/>
              <w:jc w:val="left"/>
              <w:rPr>
                <w:rFonts w:ascii="仿宋_GB2312" w:hAnsi="仿宋_GB2312" w:eastAsia="仿宋_GB2312"/>
                <w:sz w:val="24"/>
              </w:rPr>
            </w:pPr>
            <w:r>
              <w:rPr>
                <w:rFonts w:ascii="仿宋_GB2312" w:hAnsi="仿宋_GB2312" w:eastAsia="仿宋_GB2312"/>
                <w:sz w:val="24"/>
              </w:rPr>
              <w:sym w:font="Wingdings" w:char="0082"/>
            </w:r>
            <w:r>
              <w:rPr>
                <w:rFonts w:hint="eastAsia" w:ascii="仿宋_GB2312" w:hAnsi="仿宋_GB2312" w:eastAsia="仿宋_GB2312"/>
                <w:sz w:val="24"/>
              </w:rPr>
              <w:t>服务对象具有针对性</w:t>
            </w:r>
          </w:p>
          <w:p>
            <w:pPr>
              <w:adjustRightInd w:val="0"/>
              <w:snapToGrid w:val="0"/>
              <w:spacing w:line="360" w:lineRule="auto"/>
              <w:jc w:val="left"/>
              <w:rPr>
                <w:rFonts w:ascii="仿宋_GB2312" w:hAnsi="仿宋_GB2312" w:eastAsia="仿宋_GB2312"/>
                <w:sz w:val="24"/>
              </w:rPr>
            </w:pPr>
            <w:r>
              <w:rPr>
                <w:rFonts w:ascii="仿宋_GB2312" w:hAnsi="仿宋_GB2312" w:eastAsia="仿宋_GB2312"/>
                <w:sz w:val="24"/>
              </w:rPr>
              <w:sym w:font="Wingdings" w:char="0083"/>
            </w:r>
            <w:r>
              <w:rPr>
                <w:rFonts w:hint="eastAsia" w:ascii="仿宋_GB2312" w:hAnsi="仿宋_GB2312" w:eastAsia="仿宋_GB2312"/>
                <w:sz w:val="24"/>
              </w:rPr>
              <w:t>子项目（活动）设计围绕服务要求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1"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numPr>
                <w:ilvl w:val="0"/>
                <w:numId w:val="3"/>
              </w:numPr>
              <w:adjustRightInd w:val="0"/>
              <w:snapToGrid w:val="0"/>
              <w:spacing w:line="360" w:lineRule="auto"/>
              <w:jc w:val="center"/>
              <w:rPr>
                <w:rFonts w:hint="eastAsia"/>
                <w:b/>
                <w:sz w:val="24"/>
              </w:rPr>
            </w:pPr>
            <w:r>
              <w:rPr>
                <w:rFonts w:hint="eastAsia" w:ascii="宋体" w:hAnsi="宋体"/>
                <w:b/>
                <w:sz w:val="24"/>
              </w:rPr>
              <w:t>操作可行性</w:t>
            </w:r>
          </w:p>
          <w:p>
            <w:pPr>
              <w:adjustRightInd w:val="0"/>
              <w:snapToGrid w:val="0"/>
              <w:spacing w:line="360" w:lineRule="auto"/>
              <w:jc w:val="center"/>
              <w:rPr>
                <w:rFonts w:hint="eastAsia"/>
                <w:b/>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仿宋_GB2312" w:hAnsi="仿宋_GB2312" w:eastAsia="仿宋_GB2312"/>
                <w:sz w:val="24"/>
              </w:rPr>
            </w:pPr>
            <w:r>
              <w:rPr>
                <w:rFonts w:ascii="仿宋_GB2312" w:hAnsi="仿宋" w:eastAsia="仿宋_GB2312"/>
                <w:sz w:val="24"/>
              </w:rPr>
              <w:sym w:font="Wingdings" w:char="0081"/>
            </w:r>
            <w:r>
              <w:rPr>
                <w:rFonts w:hint="eastAsia" w:ascii="仿宋_GB2312" w:hAnsi="仿宋_GB2312" w:eastAsia="仿宋_GB2312"/>
                <w:sz w:val="24"/>
              </w:rPr>
              <w:t>了解项目实施地区情况，具备社区基础和群众基础</w:t>
            </w:r>
          </w:p>
          <w:p>
            <w:pPr>
              <w:adjustRightInd w:val="0"/>
              <w:snapToGrid w:val="0"/>
              <w:spacing w:line="360" w:lineRule="auto"/>
              <w:rPr>
                <w:rFonts w:ascii="仿宋_GB2312" w:hAnsi="仿宋_GB2312" w:eastAsia="仿宋_GB2312"/>
                <w:sz w:val="24"/>
              </w:rPr>
            </w:pPr>
            <w:r>
              <w:rPr>
                <w:rFonts w:ascii="仿宋_GB2312" w:hAnsi="仿宋_GB2312" w:eastAsia="仿宋_GB2312"/>
                <w:sz w:val="24"/>
              </w:rPr>
              <w:sym w:font="Wingdings" w:char="0082"/>
            </w:r>
            <w:r>
              <w:rPr>
                <w:rFonts w:hint="eastAsia" w:ascii="仿宋_GB2312" w:hAnsi="仿宋_GB2312" w:eastAsia="仿宋_GB2312"/>
                <w:sz w:val="24"/>
              </w:rPr>
              <w:t>进度安排能够保证完成标的要求</w:t>
            </w:r>
          </w:p>
          <w:p>
            <w:pPr>
              <w:adjustRightInd w:val="0"/>
              <w:snapToGrid w:val="0"/>
              <w:spacing w:line="360" w:lineRule="auto"/>
              <w:rPr>
                <w:rFonts w:ascii="仿宋_GB2312" w:hAnsi="仿宋_GB2312" w:eastAsia="仿宋_GB2312"/>
                <w:sz w:val="24"/>
              </w:rPr>
            </w:pPr>
            <w:r>
              <w:rPr>
                <w:rFonts w:ascii="仿宋_GB2312" w:hAnsi="仿宋_GB2312" w:eastAsia="仿宋_GB2312"/>
                <w:sz w:val="24"/>
              </w:rPr>
              <w:sym w:font="Wingdings" w:char="0083"/>
            </w:r>
            <w:r>
              <w:rPr>
                <w:rFonts w:hint="eastAsia" w:ascii="仿宋_GB2312" w:hAnsi="仿宋_GB2312" w:eastAsia="仿宋_GB2312"/>
                <w:sz w:val="24"/>
              </w:rPr>
              <w:t>子项目（活动）设计内容务实、可操作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1"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sz w:val="24"/>
              </w:rPr>
            </w:pP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r>
              <w:rPr>
                <w:rFonts w:hint="eastAsia" w:ascii="宋体" w:hAnsi="宋体"/>
                <w:b/>
                <w:sz w:val="24"/>
              </w:rPr>
              <w:t>14、评估指标</w:t>
            </w:r>
          </w:p>
          <w:p>
            <w:pPr>
              <w:adjustRightInd w:val="0"/>
              <w:snapToGrid w:val="0"/>
              <w:spacing w:line="360" w:lineRule="auto"/>
              <w:jc w:val="center"/>
              <w:rPr>
                <w:rFonts w:hint="eastAsia"/>
                <w:b/>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left"/>
              <w:rPr>
                <w:rFonts w:ascii="仿宋_GB2312" w:hAnsi="仿宋_GB2312" w:eastAsia="仿宋_GB2312"/>
                <w:sz w:val="24"/>
              </w:rPr>
            </w:pPr>
            <w:r>
              <w:rPr>
                <w:rFonts w:ascii="仿宋_GB2312" w:hAnsi="仿宋" w:eastAsia="仿宋_GB2312"/>
                <w:sz w:val="24"/>
              </w:rPr>
              <w:sym w:font="Wingdings" w:char="0081"/>
            </w:r>
            <w:r>
              <w:rPr>
                <w:rFonts w:hint="eastAsia" w:ascii="仿宋_GB2312" w:hAnsi="仿宋_GB2312" w:eastAsia="仿宋_GB2312"/>
                <w:sz w:val="24"/>
              </w:rPr>
              <w:t>项目成效可衡量，有量化的、具体的指标</w:t>
            </w:r>
          </w:p>
          <w:p>
            <w:pPr>
              <w:adjustRightInd w:val="0"/>
              <w:snapToGrid w:val="0"/>
              <w:spacing w:line="360" w:lineRule="auto"/>
              <w:jc w:val="left"/>
              <w:rPr>
                <w:rFonts w:ascii="仿宋_GB2312" w:hAnsi="仿宋_GB2312" w:eastAsia="仿宋_GB2312"/>
                <w:sz w:val="24"/>
              </w:rPr>
            </w:pPr>
            <w:r>
              <w:rPr>
                <w:rFonts w:ascii="仿宋_GB2312" w:hAnsi="仿宋" w:eastAsia="仿宋_GB2312"/>
                <w:sz w:val="24"/>
              </w:rPr>
              <w:sym w:font="Wingdings" w:char="0082"/>
            </w:r>
            <w:r>
              <w:rPr>
                <w:rFonts w:hint="eastAsia" w:ascii="仿宋_GB2312" w:hAnsi="仿宋" w:eastAsia="仿宋_GB2312"/>
                <w:sz w:val="24"/>
              </w:rPr>
              <w:t>用来</w:t>
            </w:r>
            <w:r>
              <w:rPr>
                <w:rFonts w:hint="eastAsia" w:ascii="仿宋_GB2312" w:hAnsi="仿宋_GB2312" w:eastAsia="仿宋_GB2312"/>
                <w:sz w:val="24"/>
              </w:rPr>
              <w:t>证明该指标已实现</w:t>
            </w:r>
            <w:r>
              <w:rPr>
                <w:rFonts w:hint="eastAsia" w:ascii="仿宋_GB2312" w:hAnsi="仿宋" w:eastAsia="仿宋_GB2312"/>
                <w:sz w:val="24"/>
              </w:rPr>
              <w:t>的</w:t>
            </w:r>
            <w:r>
              <w:rPr>
                <w:rFonts w:hint="eastAsia" w:ascii="仿宋_GB2312" w:hAnsi="仿宋_GB2312" w:eastAsia="仿宋_GB2312"/>
                <w:sz w:val="24"/>
              </w:rPr>
              <w:t>信息、资料等合理、可行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62"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sz w:val="24"/>
              </w:rPr>
            </w:pP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numPr>
                <w:ilvl w:val="0"/>
                <w:numId w:val="4"/>
              </w:numPr>
              <w:adjustRightInd w:val="0"/>
              <w:snapToGrid w:val="0"/>
              <w:spacing w:line="360" w:lineRule="auto"/>
              <w:jc w:val="center"/>
              <w:rPr>
                <w:rFonts w:hint="eastAsia"/>
                <w:b/>
                <w:sz w:val="24"/>
              </w:rPr>
            </w:pPr>
            <w:r>
              <w:rPr>
                <w:rFonts w:hint="eastAsia" w:ascii="宋体" w:hAnsi="宋体"/>
                <w:b/>
                <w:sz w:val="24"/>
              </w:rPr>
              <w:t>可持续性</w:t>
            </w:r>
          </w:p>
          <w:p>
            <w:pPr>
              <w:adjustRightInd w:val="0"/>
              <w:snapToGrid w:val="0"/>
              <w:spacing w:line="360" w:lineRule="auto"/>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lef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对项目本身有无可持续性的分析</w:t>
            </w:r>
          </w:p>
          <w:p>
            <w:pPr>
              <w:adjustRightInd w:val="0"/>
              <w:snapToGrid w:val="0"/>
              <w:spacing w:line="360" w:lineRule="auto"/>
              <w:jc w:val="left"/>
              <w:rPr>
                <w:rFonts w:ascii="仿宋_GB2312" w:hAnsi="仿宋_GB2312" w:eastAsia="仿宋_GB2312"/>
                <w:sz w:val="24"/>
              </w:rPr>
            </w:pPr>
            <w:r>
              <w:rPr>
                <w:rFonts w:ascii="仿宋_GB2312" w:hAnsi="仿宋" w:eastAsia="仿宋_GB2312"/>
                <w:sz w:val="24"/>
              </w:rPr>
              <w:sym w:font="Wingdings" w:char="0082"/>
            </w:r>
            <w:r>
              <w:rPr>
                <w:rFonts w:hint="eastAsia" w:ascii="仿宋_GB2312" w:hAnsi="仿宋" w:eastAsia="仿宋_GB2312"/>
                <w:sz w:val="24"/>
              </w:rPr>
              <w:t>对</w:t>
            </w:r>
            <w:r>
              <w:rPr>
                <w:rFonts w:hint="eastAsia" w:ascii="仿宋_GB2312" w:hAnsi="仿宋_GB2312" w:eastAsia="仿宋_GB2312"/>
                <w:sz w:val="24"/>
              </w:rPr>
              <w:t>机构自身有无能力从其他渠道获得资金，继续运作的分析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76" w:hRule="atLeast"/>
        </w:trPr>
        <w:tc>
          <w:tcPr>
            <w:tcW w:w="1185" w:type="dxa"/>
            <w:vMerge w:val="restar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r>
              <w:rPr>
                <w:rFonts w:hint="eastAsia" w:ascii="宋体" w:hAnsi="宋体"/>
                <w:b/>
                <w:sz w:val="24"/>
              </w:rPr>
              <w:t>四、</w:t>
            </w:r>
          </w:p>
          <w:p>
            <w:pPr>
              <w:adjustRightInd w:val="0"/>
              <w:snapToGrid w:val="0"/>
              <w:spacing w:line="360" w:lineRule="auto"/>
              <w:jc w:val="center"/>
              <w:rPr>
                <w:rFonts w:hint="eastAsia"/>
                <w:b/>
                <w:sz w:val="24"/>
              </w:rPr>
            </w:pPr>
            <w:r>
              <w:rPr>
                <w:rFonts w:hint="eastAsia" w:ascii="宋体" w:hAnsi="宋体"/>
                <w:b/>
                <w:sz w:val="24"/>
              </w:rPr>
              <w:t>管理方案</w:t>
            </w:r>
          </w:p>
          <w:p>
            <w:pPr>
              <w:adjustRightInd w:val="0"/>
              <w:snapToGrid w:val="0"/>
              <w:spacing w:line="360" w:lineRule="auto"/>
              <w:jc w:val="center"/>
              <w:rPr>
                <w:rFonts w:hint="eastAsia"/>
                <w:b/>
                <w:sz w:val="24"/>
              </w:rPr>
            </w:pPr>
            <w:r>
              <w:rPr>
                <w:rFonts w:hint="eastAsia" w:ascii="宋体" w:hAnsi="宋体"/>
                <w:b/>
                <w:sz w:val="24"/>
              </w:rPr>
              <w:t>（24）</w:t>
            </w: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r>
              <w:rPr>
                <w:rFonts w:hint="eastAsia" w:ascii="宋体" w:hAnsi="宋体"/>
                <w:b/>
                <w:sz w:val="24"/>
              </w:rPr>
              <w:t>16、项目组人员管理</w:t>
            </w:r>
          </w:p>
          <w:p>
            <w:pPr>
              <w:adjustRightInd w:val="0"/>
              <w:snapToGrid w:val="0"/>
              <w:spacing w:line="360" w:lineRule="auto"/>
              <w:jc w:val="center"/>
              <w:rPr>
                <w:rFonts w:hint="eastAsia"/>
                <w:b/>
                <w:sz w:val="24"/>
              </w:rPr>
            </w:pPr>
            <w:r>
              <w:rPr>
                <w:rFonts w:hint="eastAsia" w:ascii="宋体" w:hAnsi="宋体"/>
                <w:b/>
                <w:sz w:val="24"/>
              </w:rPr>
              <w:t>（5）</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left"/>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岗位架构图清晰，设置合理</w:t>
            </w:r>
          </w:p>
          <w:p>
            <w:pPr>
              <w:adjustRightInd w:val="0"/>
              <w:snapToGrid w:val="0"/>
              <w:spacing w:line="360" w:lineRule="auto"/>
              <w:jc w:val="left"/>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岗位责任明确，落实到人</w:t>
            </w:r>
          </w:p>
          <w:p>
            <w:pPr>
              <w:adjustRightInd w:val="0"/>
              <w:snapToGrid w:val="0"/>
              <w:spacing w:line="360" w:lineRule="auto"/>
              <w:rPr>
                <w:rFonts w:ascii="仿宋_GB2312" w:hAnsi="仿宋" w:eastAsia="仿宋_GB2312"/>
                <w:sz w:val="24"/>
              </w:rPr>
            </w:pPr>
            <w:r>
              <w:rPr>
                <w:rFonts w:ascii="仿宋_GB2312" w:hAnsi="仿宋" w:eastAsia="仿宋_GB2312"/>
                <w:sz w:val="24"/>
              </w:rPr>
              <w:sym w:font="Wingdings" w:char="0083"/>
            </w:r>
            <w:r>
              <w:rPr>
                <w:rFonts w:hint="eastAsia" w:ascii="仿宋_GB2312" w:hAnsi="仿宋" w:eastAsia="仿宋_GB2312"/>
                <w:sz w:val="24"/>
              </w:rPr>
              <w:t>承担本项目的人员职业资格、学历以及相关项目经验与岗位责任相适应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9"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numPr>
                <w:ilvl w:val="0"/>
                <w:numId w:val="5"/>
              </w:numPr>
              <w:adjustRightInd w:val="0"/>
              <w:snapToGrid w:val="0"/>
              <w:spacing w:line="360" w:lineRule="auto"/>
              <w:jc w:val="center"/>
              <w:rPr>
                <w:rFonts w:hint="eastAsia"/>
                <w:b/>
                <w:sz w:val="24"/>
              </w:rPr>
            </w:pPr>
            <w:r>
              <w:rPr>
                <w:rFonts w:hint="eastAsia" w:ascii="宋体" w:hAnsi="宋体"/>
                <w:b/>
                <w:sz w:val="24"/>
              </w:rPr>
              <w:t>质量管理</w:t>
            </w:r>
          </w:p>
          <w:p>
            <w:pPr>
              <w:adjustRightInd w:val="0"/>
              <w:snapToGrid w:val="0"/>
              <w:spacing w:line="360" w:lineRule="auto"/>
              <w:jc w:val="center"/>
              <w:rPr>
                <w:rFonts w:hint="eastAsia"/>
                <w:b/>
                <w:sz w:val="24"/>
              </w:rPr>
            </w:pPr>
            <w:r>
              <w:rPr>
                <w:rFonts w:hint="eastAsia" w:ascii="宋体" w:hAnsi="宋体"/>
                <w:b/>
                <w:sz w:val="24"/>
              </w:rPr>
              <w:t>（6）</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具有</w:t>
            </w:r>
            <w:r>
              <w:rPr>
                <w:rFonts w:hint="eastAsia" w:ascii="仿宋_GB2312" w:hAnsi="仿宋_GB2312" w:eastAsia="仿宋_GB2312"/>
                <w:sz w:val="24"/>
              </w:rPr>
              <w:t>针对本项目的</w:t>
            </w:r>
            <w:r>
              <w:rPr>
                <w:rFonts w:hint="eastAsia" w:ascii="仿宋_GB2312" w:hAnsi="仿宋" w:eastAsia="仿宋_GB2312"/>
                <w:sz w:val="24"/>
              </w:rPr>
              <w:t>自查制度，包括流程管理、预算执行、财务管理、进度控制、满意度调查</w:t>
            </w:r>
            <w:r>
              <w:rPr>
                <w:rFonts w:hint="eastAsia" w:ascii="仿宋_GB2312" w:hAnsi="仿宋_GB2312" w:eastAsia="仿宋_GB2312"/>
                <w:sz w:val="24"/>
              </w:rPr>
              <w:t>等，内容</w:t>
            </w:r>
            <w:r>
              <w:rPr>
                <w:rFonts w:hint="eastAsia" w:ascii="仿宋_GB2312" w:hAnsi="仿宋" w:eastAsia="仿宋_GB2312"/>
                <w:sz w:val="24"/>
              </w:rPr>
              <w:t>具体、合理、可行</w:t>
            </w:r>
          </w:p>
          <w:p>
            <w:pPr>
              <w:spacing w:line="360" w:lineRule="auto"/>
              <w:rPr>
                <w:rFonts w:ascii="仿宋_GB2312" w:hAnsi="仿宋" w:eastAsia="仿宋_GB2312"/>
                <w:sz w:val="24"/>
              </w:rPr>
            </w:pPr>
            <w:r>
              <w:rPr>
                <w:rFonts w:ascii="仿宋_GB2312" w:hAnsi="仿宋" w:eastAsia="仿宋_GB2312"/>
                <w:sz w:val="24"/>
              </w:rPr>
              <w:sym w:font="Wingdings" w:char="0082"/>
            </w:r>
            <w:r>
              <w:rPr>
                <w:rFonts w:hint="eastAsia" w:ascii="仿宋_GB2312" w:hAnsi="仿宋_GB2312" w:eastAsia="仿宋_GB2312"/>
                <w:sz w:val="24"/>
              </w:rPr>
              <w:t>承诺遵守招标文件中”</w:t>
            </w:r>
            <w:r>
              <w:rPr>
                <w:rFonts w:hint="eastAsia" w:eastAsia="仿宋_GB2312"/>
                <w:sz w:val="24"/>
              </w:rPr>
              <w:t>项目监管要求”、</w:t>
            </w:r>
            <w:r>
              <w:rPr>
                <w:rFonts w:hint="eastAsia" w:ascii="仿宋_GB2312" w:hAnsi="仿宋_GB2312" w:eastAsia="仿宋_GB2312"/>
                <w:sz w:val="24"/>
              </w:rPr>
              <w:t>“</w:t>
            </w:r>
            <w:r>
              <w:rPr>
                <w:rFonts w:hint="eastAsia" w:eastAsia="仿宋_GB2312"/>
                <w:sz w:val="24"/>
              </w:rPr>
              <w:t>项目结案要求</w:t>
            </w:r>
            <w:r>
              <w:rPr>
                <w:rFonts w:hint="eastAsia" w:ascii="仿宋_GB2312" w:hAnsi="仿宋_GB2312" w:eastAsia="仿宋_GB2312"/>
                <w:sz w:val="24"/>
              </w:rPr>
              <w:t>”提到的内容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59"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numPr>
                <w:ilvl w:val="0"/>
                <w:numId w:val="5"/>
              </w:numPr>
              <w:adjustRightInd w:val="0"/>
              <w:snapToGrid w:val="0"/>
              <w:spacing w:line="360" w:lineRule="auto"/>
              <w:jc w:val="center"/>
              <w:rPr>
                <w:rFonts w:hint="eastAsia"/>
                <w:b/>
                <w:sz w:val="24"/>
              </w:rPr>
            </w:pPr>
            <w:r>
              <w:rPr>
                <w:rFonts w:hint="eastAsia" w:ascii="宋体" w:hAnsi="宋体"/>
                <w:b/>
                <w:sz w:val="24"/>
              </w:rPr>
              <w:t>档案管理</w:t>
            </w:r>
          </w:p>
          <w:p>
            <w:pPr>
              <w:adjustRightInd w:val="0"/>
              <w:snapToGrid w:val="0"/>
              <w:spacing w:line="360" w:lineRule="auto"/>
              <w:jc w:val="center"/>
              <w:rPr>
                <w:rFonts w:hint="eastAsia"/>
                <w:b/>
                <w:sz w:val="24"/>
              </w:rPr>
            </w:pPr>
            <w:r>
              <w:rPr>
                <w:rFonts w:hint="eastAsia" w:ascii="宋体" w:hAnsi="宋体"/>
                <w:b/>
                <w:sz w:val="24"/>
              </w:rPr>
              <w:t>（5）</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具有基本档案管理制度</w:t>
            </w:r>
          </w:p>
          <w:p>
            <w:pPr>
              <w:adjustRightInd w:val="0"/>
              <w:snapToGrid w:val="0"/>
              <w:spacing w:line="360" w:lineRule="auto"/>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具有</w:t>
            </w:r>
            <w:r>
              <w:rPr>
                <w:rFonts w:hint="eastAsia" w:ascii="仿宋_GB2312" w:hAnsi="仿宋_GB2312" w:eastAsia="仿宋_GB2312"/>
                <w:sz w:val="24"/>
              </w:rPr>
              <w:t>针对本项目的基本档案目录</w:t>
            </w:r>
          </w:p>
          <w:p>
            <w:pPr>
              <w:adjustRightInd w:val="0"/>
              <w:snapToGrid w:val="0"/>
              <w:spacing w:line="360" w:lineRule="auto"/>
              <w:rPr>
                <w:rFonts w:ascii="仿宋_GB2312" w:hAnsi="仿宋" w:eastAsia="仿宋_GB2312"/>
                <w:sz w:val="24"/>
              </w:rPr>
            </w:pPr>
            <w:r>
              <w:rPr>
                <w:rFonts w:ascii="仿宋_GB2312" w:hAnsi="仿宋" w:eastAsia="仿宋_GB2312"/>
                <w:sz w:val="24"/>
              </w:rPr>
              <w:sym w:font="Wingdings" w:char="0083"/>
            </w:r>
            <w:r>
              <w:rPr>
                <w:rFonts w:hint="eastAsia" w:ascii="仿宋_GB2312" w:hAnsi="仿宋" w:eastAsia="仿宋_GB2312"/>
                <w:sz w:val="24"/>
              </w:rPr>
              <w:t>具有相关常规性表格样表，如签到表，志愿者服务记录表、实物领用清单等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9"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numPr>
                <w:ilvl w:val="0"/>
                <w:numId w:val="5"/>
              </w:numPr>
              <w:adjustRightInd w:val="0"/>
              <w:snapToGrid w:val="0"/>
              <w:spacing w:line="360" w:lineRule="auto"/>
              <w:jc w:val="center"/>
              <w:rPr>
                <w:rFonts w:hint="eastAsia"/>
                <w:b/>
                <w:sz w:val="24"/>
              </w:rPr>
            </w:pPr>
            <w:r>
              <w:rPr>
                <w:rFonts w:hint="eastAsia" w:ascii="宋体" w:hAnsi="宋体"/>
                <w:b/>
                <w:sz w:val="24"/>
              </w:rPr>
              <w:t>公关管理</w:t>
            </w:r>
          </w:p>
          <w:p>
            <w:pPr>
              <w:adjustRightInd w:val="0"/>
              <w:snapToGrid w:val="0"/>
              <w:spacing w:line="360" w:lineRule="auto"/>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仿宋_GB2312" w:hAnsi="仿宋" w:eastAsia="仿宋_GB2312"/>
                <w:sz w:val="24"/>
              </w:rPr>
            </w:pPr>
            <w:r>
              <w:rPr>
                <w:rFonts w:hint="eastAsia" w:ascii="仿宋_GB2312" w:hAnsi="仿宋" w:eastAsia="仿宋_GB2312"/>
                <w:sz w:val="24"/>
              </w:rPr>
              <w:t>具有公关管理计划，内容具体、合理、可行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4" w:hRule="atLeast"/>
        </w:trPr>
        <w:tc>
          <w:tcPr>
            <w:tcW w:w="1185" w:type="dxa"/>
            <w:vMerge w:val="continue"/>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r>
              <w:rPr>
                <w:rFonts w:hint="eastAsia" w:ascii="宋体" w:hAnsi="宋体"/>
                <w:b/>
                <w:sz w:val="24"/>
              </w:rPr>
              <w:t>20、风险管理</w:t>
            </w:r>
          </w:p>
          <w:p>
            <w:pPr>
              <w:adjustRightInd w:val="0"/>
              <w:snapToGrid w:val="0"/>
              <w:spacing w:line="360" w:lineRule="auto"/>
              <w:jc w:val="center"/>
              <w:rPr>
                <w:rFonts w:hint="eastAsia"/>
                <w:b/>
                <w:sz w:val="24"/>
              </w:rPr>
            </w:pPr>
            <w:r>
              <w:rPr>
                <w:rFonts w:hint="eastAsia" w:ascii="宋体" w:hAnsi="宋体"/>
                <w:b/>
                <w:sz w:val="24"/>
              </w:rPr>
              <w:t>（4）</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仿宋_GB2312" w:hAnsi="仿宋" w:eastAsia="仿宋_GB2312"/>
                <w:sz w:val="24"/>
              </w:rPr>
            </w:pPr>
            <w:r>
              <w:rPr>
                <w:rFonts w:ascii="仿宋_GB2312" w:hAnsi="仿宋" w:eastAsia="仿宋_GB2312"/>
                <w:sz w:val="24"/>
              </w:rPr>
              <w:sym w:font="Wingdings" w:char="0081"/>
            </w:r>
            <w:r>
              <w:rPr>
                <w:rFonts w:hint="eastAsia" w:ascii="仿宋_GB2312" w:hAnsi="仿宋" w:eastAsia="仿宋_GB2312"/>
                <w:sz w:val="24"/>
              </w:rPr>
              <w:t>风险预测全面合理</w:t>
            </w:r>
          </w:p>
          <w:p>
            <w:pPr>
              <w:adjustRightInd w:val="0"/>
              <w:snapToGrid w:val="0"/>
              <w:spacing w:line="360" w:lineRule="auto"/>
              <w:rPr>
                <w:rFonts w:ascii="仿宋_GB2312" w:hAnsi="仿宋" w:eastAsia="仿宋_GB2312"/>
                <w:sz w:val="24"/>
              </w:rPr>
            </w:pPr>
            <w:r>
              <w:rPr>
                <w:rFonts w:ascii="仿宋_GB2312" w:hAnsi="仿宋" w:eastAsia="仿宋_GB2312"/>
                <w:sz w:val="24"/>
              </w:rPr>
              <w:sym w:font="Wingdings" w:char="0082"/>
            </w:r>
            <w:r>
              <w:rPr>
                <w:rFonts w:hint="eastAsia" w:ascii="仿宋_GB2312" w:hAnsi="仿宋" w:eastAsia="仿宋_GB2312"/>
                <w:sz w:val="24"/>
              </w:rPr>
              <w:t>应对方案科学有效，具有针对性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40" w:hRule="atLeast"/>
        </w:trPr>
        <w:tc>
          <w:tcPr>
            <w:tcW w:w="1185"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auto"/>
              <w:jc w:val="center"/>
              <w:textAlignment w:val="baseline"/>
              <w:rPr>
                <w:rFonts w:ascii="仿宋" w:hAnsi="仿宋" w:eastAsia="仿宋"/>
                <w:b/>
                <w:sz w:val="24"/>
              </w:rPr>
            </w:pPr>
            <w:r>
              <w:rPr>
                <w:rFonts w:hint="eastAsia" w:ascii="仿宋" w:hAnsi="仿宋" w:eastAsia="仿宋"/>
                <w:b/>
                <w:sz w:val="24"/>
              </w:rPr>
              <w:t>五、</w:t>
            </w:r>
          </w:p>
          <w:p>
            <w:pPr>
              <w:snapToGrid w:val="0"/>
              <w:spacing w:line="360" w:lineRule="auto"/>
              <w:jc w:val="center"/>
              <w:textAlignment w:val="baseline"/>
              <w:rPr>
                <w:rFonts w:ascii="仿宋" w:hAnsi="仿宋" w:eastAsia="仿宋"/>
                <w:sz w:val="24"/>
              </w:rPr>
            </w:pPr>
            <w:r>
              <w:rPr>
                <w:rFonts w:hint="eastAsia" w:ascii="仿宋" w:hAnsi="仿宋" w:eastAsia="仿宋"/>
                <w:b/>
                <w:sz w:val="24"/>
              </w:rPr>
              <w:t>投标报价（10）</w:t>
            </w:r>
          </w:p>
        </w:tc>
        <w:tc>
          <w:tcPr>
            <w:tcW w:w="2670" w:type="dxa"/>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jc w:val="center"/>
              <w:rPr>
                <w:rFonts w:hint="eastAsia"/>
                <w:b/>
                <w:sz w:val="24"/>
              </w:rPr>
            </w:pPr>
            <w:r>
              <w:rPr>
                <w:rFonts w:hint="eastAsia" w:ascii="仿宋" w:hAnsi="仿宋" w:eastAsia="仿宋"/>
                <w:b/>
                <w:sz w:val="24"/>
              </w:rPr>
              <w:t>21、得分=设定分值-|投标报价-基准价|÷基准价×100</w:t>
            </w:r>
          </w:p>
        </w:tc>
        <w:tc>
          <w:tcPr>
            <w:tcW w:w="4965" w:type="dxa"/>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line="360" w:lineRule="auto"/>
              <w:rPr>
                <w:rFonts w:ascii="仿宋_GB2312" w:hAnsi="仿宋" w:eastAsia="仿宋_GB2312"/>
                <w:sz w:val="24"/>
              </w:rPr>
            </w:pPr>
            <w:r>
              <w:rPr>
                <w:rFonts w:hint="eastAsia" w:ascii="仿宋_GB2312" w:hAnsi="仿宋" w:eastAsia="仿宋_GB2312"/>
                <w:sz w:val="24"/>
              </w:rPr>
              <w:t>本指标评标委员会不直接评分，由招标代理方工作人员协助评标委员会计算。</w:t>
            </w:r>
          </w:p>
        </w:tc>
      </w:tr>
    </w:tbl>
    <w:p>
      <w:pPr>
        <w:pStyle w:val="3"/>
        <w:spacing w:line="360" w:lineRule="auto"/>
        <w:ind w:firstLine="0"/>
        <w:rPr>
          <w:rFonts w:hint="default" w:ascii="Times New Roman" w:eastAsia="仿宋_GB2312"/>
          <w:sz w:val="24"/>
        </w:rPr>
      </w:pPr>
      <w:r>
        <w:rPr>
          <w:rFonts w:hint="default" w:ascii="Times New Roman" w:eastAsia="仿宋_GB2312"/>
          <w:sz w:val="24"/>
        </w:rPr>
        <w:t xml:space="preserve">    </w:t>
      </w:r>
      <w:r>
        <w:rPr>
          <w:rFonts w:ascii="Times New Roman" w:eastAsia="仿宋_GB2312"/>
          <w:sz w:val="24"/>
        </w:rPr>
        <w:t>投标人排名方法：在用百分制计分法计算出各投标文件的最终得分后，评审委员按投标文件得分高低顺序排出名次，排名第一且得分不低于</w:t>
      </w:r>
      <w:r>
        <w:rPr>
          <w:rFonts w:hint="default" w:ascii="Times New Roman" w:eastAsia="仿宋_GB2312"/>
          <w:sz w:val="24"/>
        </w:rPr>
        <w:t>60</w:t>
      </w:r>
      <w:r>
        <w:rPr>
          <w:rFonts w:ascii="Times New Roman" w:eastAsia="仿宋_GB2312"/>
          <w:sz w:val="24"/>
        </w:rPr>
        <w:t>分的投标人为中标候选人。如果有</w:t>
      </w:r>
      <w:r>
        <w:rPr>
          <w:rFonts w:hint="default" w:ascii="Times New Roman" w:eastAsia="仿宋_GB2312"/>
          <w:sz w:val="24"/>
        </w:rPr>
        <w:t>2</w:t>
      </w:r>
      <w:r>
        <w:rPr>
          <w:rFonts w:ascii="Times New Roman" w:eastAsia="仿宋_GB2312"/>
          <w:sz w:val="24"/>
        </w:rPr>
        <w:t>位或</w:t>
      </w:r>
      <w:r>
        <w:rPr>
          <w:rFonts w:hint="default" w:ascii="Times New Roman" w:eastAsia="仿宋_GB2312"/>
          <w:sz w:val="24"/>
        </w:rPr>
        <w:t>2</w:t>
      </w:r>
      <w:r>
        <w:rPr>
          <w:rFonts w:ascii="Times New Roman" w:eastAsia="仿宋_GB2312"/>
          <w:sz w:val="24"/>
        </w:rPr>
        <w:t>位以上的投标文件分数相同，则投标报价低者居前；如果报价仍然相同，则由评审委员会无记名投票确定相同者的排名。</w:t>
      </w:r>
    </w:p>
    <w:p>
      <w:pPr>
        <w:pStyle w:val="3"/>
        <w:spacing w:line="360" w:lineRule="auto"/>
        <w:ind w:firstLine="0"/>
        <w:rPr>
          <w:rFonts w:hint="default" w:ascii="Times New Roman" w:eastAsia="仿宋_GB2312"/>
          <w:sz w:val="24"/>
        </w:rPr>
      </w:pPr>
      <w:r>
        <w:rPr>
          <w:rFonts w:hint="default" w:ascii="Times New Roman" w:eastAsia="仿宋_GB2312"/>
          <w:sz w:val="24"/>
        </w:rPr>
        <w:t xml:space="preserve">    </w:t>
      </w:r>
      <w:r>
        <w:rPr>
          <w:rFonts w:ascii="Times New Roman" w:eastAsia="仿宋_GB2312"/>
          <w:sz w:val="24"/>
        </w:rPr>
        <w:t>中标候选人推荐要求：投标文件的最终得分最高且不低于</w:t>
      </w:r>
      <w:r>
        <w:rPr>
          <w:rFonts w:hint="default" w:ascii="Times New Roman" w:eastAsia="仿宋_GB2312"/>
          <w:sz w:val="24"/>
        </w:rPr>
        <w:t>60</w:t>
      </w:r>
      <w:r>
        <w:rPr>
          <w:rFonts w:ascii="Times New Roman" w:eastAsia="仿宋_GB2312"/>
          <w:sz w:val="24"/>
        </w:rPr>
        <w:t>分的方可被推荐为中标候选人；如果所有投标文件的得分均低于</w:t>
      </w:r>
      <w:r>
        <w:rPr>
          <w:rFonts w:hint="default" w:ascii="Times New Roman" w:eastAsia="仿宋_GB2312"/>
          <w:sz w:val="24"/>
        </w:rPr>
        <w:t>60</w:t>
      </w:r>
      <w:r>
        <w:rPr>
          <w:rFonts w:ascii="Times New Roman" w:eastAsia="仿宋_GB2312"/>
          <w:sz w:val="24"/>
        </w:rPr>
        <w:t>分，则该招标项目流标。</w:t>
      </w:r>
    </w:p>
    <w:p>
      <w:pPr>
        <w:pStyle w:val="3"/>
        <w:spacing w:line="360" w:lineRule="auto"/>
        <w:ind w:firstLine="480" w:firstLineChars="200"/>
        <w:rPr>
          <w:rFonts w:hint="default" w:ascii="Times New Roman" w:eastAsia="仿宋_GB2312"/>
          <w:sz w:val="24"/>
        </w:rPr>
      </w:pPr>
      <w:r>
        <w:rPr>
          <w:rFonts w:ascii="Times New Roman" w:eastAsia="仿宋_GB2312"/>
          <w:sz w:val="24"/>
        </w:rPr>
        <w:t>实施进度：符合招标文件要求。</w:t>
      </w:r>
    </w:p>
    <w:p>
      <w:pPr>
        <w:pStyle w:val="3"/>
        <w:spacing w:line="360" w:lineRule="auto"/>
        <w:ind w:firstLine="480" w:firstLineChars="200"/>
        <w:rPr>
          <w:rFonts w:ascii="Times New Roman" w:eastAsia="仿宋_GB2312"/>
          <w:sz w:val="24"/>
        </w:rPr>
      </w:pPr>
      <w:r>
        <w:rPr>
          <w:rFonts w:ascii="Times New Roman" w:eastAsia="仿宋_GB2312"/>
          <w:sz w:val="24"/>
        </w:rPr>
        <w:t>招标文件的澄清：任何要求对招标文件进行澄清的投标人，均应在投标截止期3日以前，按“第一章</w:t>
      </w:r>
      <w:r>
        <w:rPr>
          <w:rFonts w:hint="default" w:ascii="Times New Roman" w:eastAsia="仿宋_GB2312"/>
          <w:sz w:val="24"/>
        </w:rPr>
        <w:t xml:space="preserve"> </w:t>
      </w:r>
      <w:r>
        <w:rPr>
          <w:rFonts w:ascii="Times New Roman" w:eastAsia="仿宋_GB2312"/>
          <w:sz w:val="24"/>
        </w:rPr>
        <w:t>投标邀请”中的地址以书面形式（必须加盖投标人单位公章）通知招标代理人。</w:t>
      </w:r>
    </w:p>
    <w:p>
      <w:pPr>
        <w:pStyle w:val="3"/>
        <w:spacing w:line="360" w:lineRule="auto"/>
        <w:ind w:firstLine="480" w:firstLineChars="200"/>
        <w:rPr>
          <w:rFonts w:hint="eastAsia" w:eastAsia="仿宋_GB2312"/>
          <w:sz w:val="24"/>
        </w:rPr>
      </w:pPr>
      <w:r>
        <w:rPr>
          <w:rFonts w:ascii="Times New Roman" w:eastAsia="仿宋_GB2312"/>
          <w:sz w:val="24"/>
        </w:rPr>
        <w:t>招标文件的修改：</w:t>
      </w:r>
      <w:r>
        <w:rPr>
          <w:rFonts w:hint="eastAsia" w:eastAsia="仿宋_GB2312"/>
          <w:sz w:val="24"/>
        </w:rPr>
        <w:t>在投标截止期前的任何时候，无论出于何种原因，招标代理人可主动或在解答投标人提出的澄清问题时对招标文件进行修改。</w:t>
      </w:r>
    </w:p>
    <w:p>
      <w:pPr>
        <w:spacing w:line="360" w:lineRule="auto"/>
        <w:rPr>
          <w:rFonts w:hint="eastAsia" w:eastAsia="仿宋_GB2312"/>
          <w:sz w:val="24"/>
        </w:rPr>
      </w:pPr>
    </w:p>
    <w:p>
      <w:pPr>
        <w:spacing w:line="360" w:lineRule="auto"/>
        <w:rPr>
          <w:rFonts w:hint="eastAsia" w:eastAsia="仿宋_GB2312"/>
          <w:sz w:val="24"/>
        </w:rPr>
      </w:pPr>
    </w:p>
    <w:p>
      <w:pPr>
        <w:spacing w:line="360" w:lineRule="auto"/>
        <w:rPr>
          <w:rFonts w:hint="eastAsia" w:eastAsia="仿宋_GB2312"/>
          <w:sz w:val="24"/>
        </w:rPr>
      </w:pPr>
    </w:p>
    <w:p>
      <w:pPr>
        <w:spacing w:line="360" w:lineRule="auto"/>
        <w:rPr>
          <w:rFonts w:hint="eastAsia" w:eastAsia="仿宋_GB2312"/>
          <w:sz w:val="24"/>
        </w:rPr>
      </w:pPr>
    </w:p>
    <w:p>
      <w:pPr>
        <w:jc w:val="center"/>
        <w:rPr>
          <w:rFonts w:hint="eastAsia" w:ascii="华文中宋" w:hAnsi="华文中宋" w:eastAsia="华文中宋" w:cs="华文中宋"/>
          <w:b w:val="0"/>
          <w:bCs w:val="0"/>
          <w:sz w:val="30"/>
          <w:szCs w:val="30"/>
        </w:rPr>
      </w:pPr>
      <w:r>
        <w:rPr>
          <w:rFonts w:hint="eastAsia" w:ascii="华文中宋" w:hAnsi="华文中宋" w:eastAsia="华文中宋" w:cs="华文中宋"/>
          <w:b w:val="0"/>
          <w:bCs w:val="0"/>
          <w:sz w:val="30"/>
          <w:szCs w:val="30"/>
        </w:rPr>
        <w:t>第三章 项目需求书</w:t>
      </w:r>
    </w:p>
    <w:p>
      <w:pPr>
        <w:numPr>
          <w:ilvl w:val="0"/>
          <w:numId w:val="6"/>
        </w:numPr>
        <w:spacing w:line="360" w:lineRule="auto"/>
        <w:rPr>
          <w:rFonts w:hint="eastAsia" w:ascii="黑体" w:hAnsi="黑体" w:eastAsia="黑体" w:cs="黑体"/>
          <w:b w:val="0"/>
          <w:bCs w:val="0"/>
          <w:sz w:val="24"/>
          <w:szCs w:val="24"/>
        </w:rPr>
      </w:pPr>
      <w:r>
        <w:rPr>
          <w:rFonts w:hint="eastAsia" w:ascii="黑体" w:hAnsi="黑体" w:eastAsia="黑体" w:cs="黑体"/>
          <w:b w:val="0"/>
          <w:bCs w:val="0"/>
          <w:sz w:val="24"/>
          <w:szCs w:val="24"/>
        </w:rPr>
        <w:t>项目背景</w:t>
      </w:r>
    </w:p>
    <w:p>
      <w:pPr>
        <w:keepNext w:val="0"/>
        <w:keepLines w:val="0"/>
        <w:pageBreakBefore w:val="0"/>
        <w:widowControl w:val="0"/>
        <w:numPr>
          <w:ilvl w:val="0"/>
          <w:numId w:val="7"/>
        </w:numPr>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社区背景</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五里桥街道位于黄浦区西南部，东起制造局路，南到黄浦江，西临瑞金南路，北至斜土路，区域面积3.094平方公里，其中包括约0.5平方公里水域面积，现有户籍</w:t>
      </w:r>
      <w:r>
        <w:rPr>
          <w:rFonts w:hint="eastAsia" w:ascii="仿宋" w:hAnsi="仿宋" w:eastAsia="仿宋" w:cs="仿宋"/>
          <w:color w:val="auto"/>
          <w:sz w:val="24"/>
          <w:szCs w:val="24"/>
        </w:rPr>
        <w:t>人口6.6万余人，实有人口8.1万余人，19</w:t>
      </w:r>
      <w:r>
        <w:rPr>
          <w:rFonts w:hint="eastAsia" w:ascii="仿宋" w:hAnsi="仿宋" w:eastAsia="仿宋" w:cs="仿宋"/>
          <w:sz w:val="24"/>
          <w:szCs w:val="24"/>
        </w:rPr>
        <w:t>个居委会，1100余个居民小组。</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仿宋" w:hAnsi="仿宋" w:eastAsia="仿宋" w:cs="仿宋"/>
          <w:b/>
          <w:bCs/>
          <w:sz w:val="24"/>
          <w:szCs w:val="24"/>
        </w:rPr>
      </w:pPr>
      <w:r>
        <w:rPr>
          <w:rFonts w:hint="eastAsia" w:ascii="仿宋" w:hAnsi="仿宋" w:eastAsia="仿宋" w:cs="仿宋"/>
          <w:b/>
          <w:bCs/>
          <w:sz w:val="24"/>
          <w:szCs w:val="24"/>
        </w:rPr>
        <w:t>（二）服务对象</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sz w:val="24"/>
        </w:rPr>
      </w:pPr>
      <w:r>
        <w:rPr>
          <w:rFonts w:hint="eastAsia" w:eastAsia="仿宋_GB2312"/>
          <w:color w:val="auto"/>
          <w:sz w:val="24"/>
          <w:lang w:val="en-US" w:eastAsia="zh-CN"/>
        </w:rPr>
        <w:t>五里桥社区居民、园区白领</w:t>
      </w:r>
    </w:p>
    <w:p>
      <w:pPr>
        <w:numPr>
          <w:ilvl w:val="0"/>
          <w:numId w:val="6"/>
        </w:numPr>
        <w:spacing w:line="360" w:lineRule="auto"/>
        <w:rPr>
          <w:rFonts w:hint="eastAsia" w:ascii="黑体" w:hAnsi="黑体" w:eastAsia="黑体" w:cs="黑体"/>
          <w:b w:val="0"/>
          <w:bCs w:val="0"/>
          <w:sz w:val="24"/>
          <w:szCs w:val="24"/>
        </w:rPr>
      </w:pPr>
      <w:r>
        <w:rPr>
          <w:rFonts w:hint="eastAsia" w:ascii="黑体" w:hAnsi="黑体" w:eastAsia="黑体" w:cs="黑体"/>
          <w:b w:val="0"/>
          <w:bCs w:val="0"/>
          <w:sz w:val="24"/>
          <w:szCs w:val="24"/>
        </w:rPr>
        <w:t>项目标的</w:t>
      </w:r>
    </w:p>
    <w:p>
      <w:pPr>
        <w:keepNext w:val="0"/>
        <w:keepLines w:val="0"/>
        <w:pageBreakBefore w:val="0"/>
        <w:widowControl w:val="0"/>
        <w:numPr>
          <w:ilvl w:val="0"/>
          <w:numId w:val="8"/>
        </w:numPr>
        <w:kinsoku/>
        <w:wordWrap/>
        <w:overflowPunct/>
        <w:topLinePunct w:val="0"/>
        <w:autoSpaceDE/>
        <w:autoSpaceDN/>
        <w:bidi w:val="0"/>
        <w:adjustRightInd/>
        <w:snapToGrid/>
        <w:spacing w:line="360" w:lineRule="auto"/>
        <w:ind w:firstLine="482" w:firstLineChars="200"/>
        <w:jc w:val="left"/>
        <w:textAlignment w:val="auto"/>
        <w:rPr>
          <w:rFonts w:hint="eastAsia" w:ascii="仿宋" w:hAnsi="仿宋" w:eastAsia="仿宋" w:cs="仿宋"/>
          <w:b/>
          <w:bCs/>
          <w:sz w:val="24"/>
          <w:szCs w:val="24"/>
        </w:rPr>
      </w:pPr>
      <w:r>
        <w:rPr>
          <w:rFonts w:hint="eastAsia" w:ascii="仿宋" w:hAnsi="仿宋" w:eastAsia="仿宋" w:cs="仿宋"/>
          <w:b/>
          <w:bCs/>
          <w:sz w:val="24"/>
          <w:szCs w:val="24"/>
        </w:rPr>
        <w:t>服务内容及服务频次要求</w:t>
      </w:r>
    </w:p>
    <w:p>
      <w:pPr>
        <w:keepNext w:val="0"/>
        <w:keepLines w:val="0"/>
        <w:pageBreakBefore w:val="0"/>
        <w:widowControl w:val="0"/>
        <w:kinsoku/>
        <w:wordWrap/>
        <w:overflowPunct/>
        <w:topLinePunct w:val="0"/>
        <w:autoSpaceDE/>
        <w:autoSpaceDN/>
        <w:bidi w:val="0"/>
        <w:adjustRightInd/>
        <w:snapToGrid/>
        <w:spacing w:line="336"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val="en-US" w:eastAsia="zh-CN"/>
        </w:rPr>
        <w:t>.1负责</w:t>
      </w:r>
      <w:r>
        <w:rPr>
          <w:rFonts w:hint="eastAsia" w:ascii="仿宋" w:hAnsi="仿宋" w:eastAsia="仿宋" w:cs="仿宋"/>
          <w:sz w:val="24"/>
          <w:szCs w:val="24"/>
        </w:rPr>
        <w:t>“香草吧”</w:t>
      </w:r>
      <w:r>
        <w:rPr>
          <w:rFonts w:hint="eastAsia" w:ascii="仿宋" w:hAnsi="仿宋" w:eastAsia="仿宋" w:cs="仿宋"/>
          <w:sz w:val="24"/>
          <w:szCs w:val="24"/>
          <w:lang w:val="en-US" w:eastAsia="zh-CN"/>
        </w:rPr>
        <w:t>日常</w:t>
      </w:r>
      <w:r>
        <w:rPr>
          <w:rFonts w:hint="eastAsia" w:ascii="仿宋" w:hAnsi="仿宋" w:eastAsia="仿宋" w:cs="仿宋"/>
          <w:sz w:val="24"/>
          <w:szCs w:val="24"/>
        </w:rPr>
        <w:t>管理</w:t>
      </w:r>
      <w:r>
        <w:rPr>
          <w:rFonts w:hint="eastAsia" w:ascii="仿宋" w:hAnsi="仿宋" w:eastAsia="仿宋" w:cs="仿宋"/>
          <w:sz w:val="24"/>
          <w:szCs w:val="24"/>
          <w:lang w:eastAsia="zh-CN"/>
        </w:rPr>
        <w:t>、</w:t>
      </w:r>
      <w:r>
        <w:rPr>
          <w:rFonts w:hint="eastAsia" w:ascii="仿宋" w:hAnsi="仿宋" w:eastAsia="仿宋" w:cs="仿宋"/>
          <w:sz w:val="24"/>
          <w:szCs w:val="24"/>
        </w:rPr>
        <w:t>运营；</w:t>
      </w:r>
    </w:p>
    <w:p>
      <w:pPr>
        <w:keepNext w:val="0"/>
        <w:keepLines w:val="0"/>
        <w:pageBreakBefore w:val="0"/>
        <w:widowControl w:val="0"/>
        <w:kinsoku/>
        <w:wordWrap/>
        <w:overflowPunct/>
        <w:topLinePunct w:val="0"/>
        <w:autoSpaceDE/>
        <w:autoSpaceDN/>
        <w:bidi w:val="0"/>
        <w:adjustRightInd/>
        <w:snapToGrid/>
        <w:spacing w:line="336"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1.2开展</w:t>
      </w:r>
      <w:r>
        <w:rPr>
          <w:rFonts w:hint="eastAsia" w:ascii="仿宋" w:hAnsi="仿宋" w:eastAsia="仿宋" w:cs="仿宋"/>
          <w:sz w:val="24"/>
          <w:szCs w:val="24"/>
        </w:rPr>
        <w:t>白领公益课堂、</w:t>
      </w:r>
      <w:r>
        <w:rPr>
          <w:rFonts w:hint="eastAsia" w:ascii="仿宋" w:hAnsi="仿宋" w:eastAsia="仿宋" w:cs="仿宋"/>
          <w:sz w:val="24"/>
          <w:szCs w:val="24"/>
          <w:lang w:eastAsia="zh-CN"/>
        </w:rPr>
        <w:t>“</w:t>
      </w:r>
      <w:r>
        <w:rPr>
          <w:rFonts w:hint="eastAsia" w:ascii="仿宋" w:hAnsi="仿宋" w:eastAsia="仿宋" w:cs="仿宋"/>
          <w:sz w:val="24"/>
          <w:szCs w:val="24"/>
        </w:rPr>
        <w:t>1+1</w:t>
      </w:r>
      <w:r>
        <w:rPr>
          <w:rFonts w:hint="eastAsia" w:ascii="仿宋" w:hAnsi="仿宋" w:eastAsia="仿宋" w:cs="仿宋"/>
          <w:sz w:val="24"/>
          <w:szCs w:val="24"/>
          <w:lang w:eastAsia="zh-CN"/>
        </w:rPr>
        <w:t>”</w:t>
      </w:r>
      <w:r>
        <w:rPr>
          <w:rFonts w:hint="eastAsia" w:ascii="仿宋" w:hAnsi="仿宋" w:eastAsia="仿宋" w:cs="仿宋"/>
          <w:sz w:val="24"/>
          <w:szCs w:val="24"/>
        </w:rPr>
        <w:t>快乐时光亲子活动</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每周至少3次</w:t>
      </w:r>
      <w:r>
        <w:rPr>
          <w:rFonts w:hint="eastAsia" w:ascii="仿宋" w:hAnsi="仿宋" w:eastAsia="仿宋" w:cs="仿宋"/>
          <w:sz w:val="24"/>
          <w:szCs w:val="24"/>
        </w:rPr>
        <w:t>；</w:t>
      </w:r>
    </w:p>
    <w:p>
      <w:pPr>
        <w:keepNext w:val="0"/>
        <w:keepLines w:val="0"/>
        <w:pageBreakBefore w:val="0"/>
        <w:widowControl w:val="0"/>
        <w:kinsoku/>
        <w:wordWrap/>
        <w:overflowPunct/>
        <w:topLinePunct w:val="0"/>
        <w:autoSpaceDE/>
        <w:autoSpaceDN/>
        <w:bidi w:val="0"/>
        <w:adjustRightInd/>
        <w:snapToGrid/>
        <w:spacing w:line="336"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1.3</w:t>
      </w:r>
      <w:r>
        <w:rPr>
          <w:rFonts w:hint="eastAsia" w:ascii="仿宋" w:hAnsi="仿宋" w:eastAsia="仿宋" w:cs="仿宋"/>
          <w:sz w:val="24"/>
          <w:szCs w:val="24"/>
        </w:rPr>
        <w:t>配合街道完成相关接待参访、主题活动等工作。</w:t>
      </w:r>
    </w:p>
    <w:p>
      <w:pPr>
        <w:keepNext w:val="0"/>
        <w:keepLines w:val="0"/>
        <w:pageBreakBefore w:val="0"/>
        <w:widowControl w:val="0"/>
        <w:kinsoku/>
        <w:wordWrap/>
        <w:overflowPunct/>
        <w:topLinePunct w:val="0"/>
        <w:autoSpaceDE/>
        <w:autoSpaceDN/>
        <w:bidi w:val="0"/>
        <w:adjustRightInd/>
        <w:snapToGrid/>
        <w:spacing w:line="336" w:lineRule="auto"/>
        <w:ind w:firstLine="482" w:firstLineChars="200"/>
        <w:jc w:val="left"/>
        <w:textAlignment w:val="auto"/>
        <w:rPr>
          <w:rFonts w:hint="eastAsia" w:ascii="仿宋" w:hAnsi="仿宋" w:eastAsia="仿宋" w:cs="仿宋"/>
          <w:b/>
          <w:bCs/>
          <w:sz w:val="24"/>
          <w:szCs w:val="24"/>
        </w:rPr>
      </w:pPr>
      <w:r>
        <w:rPr>
          <w:rFonts w:hint="eastAsia" w:ascii="仿宋" w:hAnsi="仿宋" w:eastAsia="仿宋" w:cs="仿宋"/>
          <w:b/>
          <w:bCs/>
          <w:sz w:val="24"/>
          <w:szCs w:val="24"/>
          <w:lang w:eastAsia="zh-CN"/>
        </w:rPr>
        <w:t>（</w:t>
      </w:r>
      <w:r>
        <w:rPr>
          <w:rFonts w:hint="eastAsia" w:ascii="仿宋" w:hAnsi="仿宋" w:eastAsia="仿宋" w:cs="仿宋"/>
          <w:b/>
          <w:bCs/>
          <w:sz w:val="24"/>
          <w:szCs w:val="24"/>
          <w:lang w:val="en-US" w:eastAsia="zh-CN"/>
        </w:rPr>
        <w:t>二</w:t>
      </w:r>
      <w:r>
        <w:rPr>
          <w:rFonts w:hint="eastAsia" w:ascii="仿宋" w:hAnsi="仿宋" w:eastAsia="仿宋" w:cs="仿宋"/>
          <w:b/>
          <w:bCs/>
          <w:sz w:val="24"/>
          <w:szCs w:val="24"/>
          <w:lang w:eastAsia="zh-CN"/>
        </w:rPr>
        <w:t>）</w:t>
      </w:r>
      <w:r>
        <w:rPr>
          <w:rFonts w:hint="eastAsia" w:ascii="仿宋" w:hAnsi="仿宋" w:eastAsia="仿宋" w:cs="仿宋"/>
          <w:b/>
          <w:bCs/>
          <w:sz w:val="24"/>
          <w:szCs w:val="24"/>
        </w:rPr>
        <w:t>组织实施和风险控制要求</w:t>
      </w:r>
    </w:p>
    <w:p>
      <w:pPr>
        <w:keepNext w:val="0"/>
        <w:keepLines w:val="0"/>
        <w:pageBreakBefore w:val="0"/>
        <w:widowControl w:val="0"/>
        <w:kinsoku/>
        <w:wordWrap/>
        <w:overflowPunct/>
        <w:topLinePunct w:val="0"/>
        <w:autoSpaceDE/>
        <w:autoSpaceDN/>
        <w:bidi w:val="0"/>
        <w:adjustRightInd/>
        <w:snapToGrid/>
        <w:spacing w:line="336"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2.1 提供的项目实施方案能有序进行，能够合理安排、调整各项活动的实施，并且定期做好项目的评估与优化工作；</w:t>
      </w:r>
    </w:p>
    <w:p>
      <w:pPr>
        <w:keepNext w:val="0"/>
        <w:keepLines w:val="0"/>
        <w:pageBreakBefore w:val="0"/>
        <w:widowControl w:val="0"/>
        <w:kinsoku/>
        <w:wordWrap/>
        <w:overflowPunct/>
        <w:topLinePunct w:val="0"/>
        <w:autoSpaceDE/>
        <w:autoSpaceDN/>
        <w:bidi w:val="0"/>
        <w:adjustRightInd/>
        <w:snapToGrid/>
        <w:spacing w:line="336"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2.2须提出可行的项目活动的计划时间表；</w:t>
      </w:r>
    </w:p>
    <w:p>
      <w:pPr>
        <w:keepNext w:val="0"/>
        <w:keepLines w:val="0"/>
        <w:pageBreakBefore w:val="0"/>
        <w:widowControl w:val="0"/>
        <w:kinsoku/>
        <w:wordWrap/>
        <w:overflowPunct/>
        <w:topLinePunct w:val="0"/>
        <w:autoSpaceDE/>
        <w:autoSpaceDN/>
        <w:bidi w:val="0"/>
        <w:adjustRightInd/>
        <w:snapToGrid/>
        <w:spacing w:line="336"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2.3须做好服务对象满意度评估，及时反馈信息，及时改进服务质量；</w:t>
      </w:r>
    </w:p>
    <w:p>
      <w:pPr>
        <w:keepNext w:val="0"/>
        <w:keepLines w:val="0"/>
        <w:pageBreakBefore w:val="0"/>
        <w:widowControl w:val="0"/>
        <w:kinsoku/>
        <w:wordWrap/>
        <w:overflowPunct/>
        <w:topLinePunct w:val="0"/>
        <w:autoSpaceDE/>
        <w:autoSpaceDN/>
        <w:bidi w:val="0"/>
        <w:adjustRightInd/>
        <w:snapToGrid/>
        <w:spacing w:line="336"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2.4在项目实施过程中要考虑服务对象的身体、家庭实际情况等特点，预测可能出现的风险并确定应急方案。</w:t>
      </w:r>
    </w:p>
    <w:p>
      <w:pPr>
        <w:keepNext w:val="0"/>
        <w:keepLines w:val="0"/>
        <w:pageBreakBefore w:val="0"/>
        <w:widowControl w:val="0"/>
        <w:kinsoku/>
        <w:wordWrap/>
        <w:overflowPunct/>
        <w:topLinePunct w:val="0"/>
        <w:autoSpaceDE/>
        <w:autoSpaceDN/>
        <w:bidi w:val="0"/>
        <w:adjustRightInd/>
        <w:snapToGrid/>
        <w:spacing w:line="336" w:lineRule="auto"/>
        <w:ind w:firstLine="482" w:firstLineChars="200"/>
        <w:jc w:val="left"/>
        <w:textAlignment w:val="auto"/>
        <w:rPr>
          <w:rFonts w:hint="eastAsia" w:ascii="仿宋" w:hAnsi="仿宋" w:eastAsia="仿宋" w:cs="仿宋"/>
          <w:b/>
          <w:bCs/>
          <w:sz w:val="24"/>
          <w:szCs w:val="24"/>
        </w:rPr>
      </w:pPr>
      <w:r>
        <w:rPr>
          <w:rFonts w:hint="eastAsia" w:ascii="仿宋" w:hAnsi="仿宋" w:eastAsia="仿宋" w:cs="仿宋"/>
          <w:b/>
          <w:bCs/>
          <w:sz w:val="24"/>
          <w:szCs w:val="24"/>
          <w:lang w:eastAsia="zh-CN"/>
        </w:rPr>
        <w:t>（</w:t>
      </w:r>
      <w:r>
        <w:rPr>
          <w:rFonts w:hint="eastAsia" w:ascii="仿宋" w:hAnsi="仿宋" w:eastAsia="仿宋" w:cs="仿宋"/>
          <w:b/>
          <w:bCs/>
          <w:sz w:val="24"/>
          <w:szCs w:val="24"/>
          <w:lang w:val="en-US" w:eastAsia="zh-CN"/>
        </w:rPr>
        <w:t>三</w:t>
      </w:r>
      <w:r>
        <w:rPr>
          <w:rFonts w:hint="eastAsia" w:ascii="仿宋" w:hAnsi="仿宋" w:eastAsia="仿宋" w:cs="仿宋"/>
          <w:b/>
          <w:bCs/>
          <w:sz w:val="24"/>
          <w:szCs w:val="24"/>
          <w:lang w:eastAsia="zh-CN"/>
        </w:rPr>
        <w:t>）</w:t>
      </w:r>
      <w:r>
        <w:rPr>
          <w:rFonts w:hint="eastAsia" w:ascii="仿宋" w:hAnsi="仿宋" w:eastAsia="仿宋" w:cs="仿宋"/>
          <w:b/>
          <w:bCs/>
          <w:sz w:val="24"/>
          <w:szCs w:val="24"/>
        </w:rPr>
        <w:t>从业经验和专业能力要求</w:t>
      </w:r>
    </w:p>
    <w:p>
      <w:pPr>
        <w:keepNext w:val="0"/>
        <w:keepLines w:val="0"/>
        <w:pageBreakBefore w:val="0"/>
        <w:widowControl w:val="0"/>
        <w:kinsoku/>
        <w:wordWrap/>
        <w:overflowPunct/>
        <w:topLinePunct w:val="0"/>
        <w:autoSpaceDE/>
        <w:autoSpaceDN/>
        <w:bidi w:val="0"/>
        <w:adjustRightInd/>
        <w:snapToGrid/>
        <w:spacing w:line="336"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3.1投标组织应具备开展相关公益活动的经验；</w:t>
      </w:r>
    </w:p>
    <w:p>
      <w:pPr>
        <w:keepNext w:val="0"/>
        <w:keepLines w:val="0"/>
        <w:pageBreakBefore w:val="0"/>
        <w:widowControl w:val="0"/>
        <w:kinsoku/>
        <w:wordWrap/>
        <w:overflowPunct/>
        <w:topLinePunct w:val="0"/>
        <w:autoSpaceDE/>
        <w:autoSpaceDN/>
        <w:bidi w:val="0"/>
        <w:adjustRightInd/>
        <w:snapToGrid/>
        <w:spacing w:line="336"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 xml:space="preserve">3.2须有经验丰富的项目支持性团队和严密的内部督导体系； </w:t>
      </w:r>
    </w:p>
    <w:p>
      <w:pPr>
        <w:keepNext w:val="0"/>
        <w:keepLines w:val="0"/>
        <w:pageBreakBefore w:val="0"/>
        <w:widowControl w:val="0"/>
        <w:kinsoku/>
        <w:wordWrap/>
        <w:overflowPunct/>
        <w:topLinePunct w:val="0"/>
        <w:autoSpaceDE/>
        <w:autoSpaceDN/>
        <w:bidi w:val="0"/>
        <w:adjustRightInd/>
        <w:snapToGrid/>
        <w:spacing w:line="336"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3.3项目执行团队的组成人员中，项目执行人员不少于2人，其中项目专职负责人1人。</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w:t>
      </w:r>
      <w:r>
        <w:rPr>
          <w:rFonts w:hint="eastAsia" w:ascii="仿宋" w:hAnsi="仿宋" w:eastAsia="仿宋" w:cs="仿宋"/>
          <w:b/>
          <w:bCs/>
          <w:sz w:val="24"/>
          <w:szCs w:val="24"/>
          <w:lang w:val="en-US" w:eastAsia="zh-CN"/>
        </w:rPr>
        <w:t>四</w:t>
      </w:r>
      <w:r>
        <w:rPr>
          <w:rFonts w:hint="eastAsia" w:ascii="仿宋" w:hAnsi="仿宋" w:eastAsia="仿宋" w:cs="仿宋"/>
          <w:b/>
          <w:bCs/>
          <w:sz w:val="24"/>
          <w:szCs w:val="24"/>
          <w:lang w:eastAsia="zh-CN"/>
        </w:rPr>
        <w:t>）项目监测要求</w:t>
      </w: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4.1</w:t>
      </w:r>
      <w:r>
        <w:rPr>
          <w:rFonts w:hint="eastAsia" w:ascii="仿宋" w:hAnsi="仿宋" w:eastAsia="仿宋" w:cs="仿宋"/>
          <w:sz w:val="24"/>
          <w:szCs w:val="24"/>
        </w:rPr>
        <w:t>项目执行过程中投标方须接受需求方和招标代理人的监测，</w:t>
      </w:r>
      <w:r>
        <w:rPr>
          <w:rFonts w:hint="eastAsia" w:ascii="仿宋" w:hAnsi="仿宋" w:eastAsia="仿宋" w:cs="仿宋"/>
          <w:sz w:val="24"/>
          <w:szCs w:val="24"/>
          <w:lang w:val="en-US" w:eastAsia="zh-CN"/>
        </w:rPr>
        <w:t>并</w:t>
      </w:r>
      <w:r>
        <w:rPr>
          <w:rFonts w:hint="eastAsia" w:ascii="仿宋" w:hAnsi="仿宋" w:eastAsia="仿宋" w:cs="仿宋"/>
          <w:sz w:val="24"/>
          <w:szCs w:val="24"/>
        </w:rPr>
        <w:t>接受招标方的中期评估，提供项目中期报告。</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w:t>
      </w:r>
      <w:r>
        <w:rPr>
          <w:rFonts w:hint="eastAsia" w:ascii="仿宋" w:hAnsi="仿宋" w:eastAsia="仿宋" w:cs="仿宋"/>
          <w:b/>
          <w:bCs/>
          <w:sz w:val="24"/>
          <w:szCs w:val="24"/>
          <w:lang w:val="en-US" w:eastAsia="zh-CN"/>
        </w:rPr>
        <w:t>五</w:t>
      </w:r>
      <w:r>
        <w:rPr>
          <w:rFonts w:hint="eastAsia" w:ascii="仿宋" w:hAnsi="仿宋" w:eastAsia="仿宋" w:cs="仿宋"/>
          <w:b/>
          <w:bCs/>
          <w:sz w:val="24"/>
          <w:szCs w:val="24"/>
          <w:lang w:eastAsia="zh-CN"/>
        </w:rPr>
        <w:t>）项目结案要求</w:t>
      </w: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5.1</w:t>
      </w:r>
      <w:r>
        <w:rPr>
          <w:rFonts w:hint="eastAsia" w:ascii="仿宋" w:hAnsi="仿宋" w:eastAsia="仿宋" w:cs="仿宋"/>
          <w:sz w:val="24"/>
          <w:szCs w:val="24"/>
        </w:rPr>
        <w:t>项目结束后投标方须向招标方提供台账、项目决算表、项目总结报告等相关数据资料，并接受招标方的终期评估。</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w:t>
      </w:r>
      <w:r>
        <w:rPr>
          <w:rFonts w:hint="eastAsia" w:ascii="仿宋" w:hAnsi="仿宋" w:eastAsia="仿宋" w:cs="仿宋"/>
          <w:b/>
          <w:bCs/>
          <w:sz w:val="24"/>
          <w:szCs w:val="24"/>
          <w:lang w:val="en-US" w:eastAsia="zh-CN"/>
        </w:rPr>
        <w:t>六</w:t>
      </w:r>
      <w:r>
        <w:rPr>
          <w:rFonts w:hint="eastAsia" w:ascii="仿宋" w:hAnsi="仿宋" w:eastAsia="仿宋" w:cs="仿宋"/>
          <w:b/>
          <w:bCs/>
          <w:sz w:val="24"/>
          <w:szCs w:val="24"/>
          <w:lang w:eastAsia="zh-CN"/>
        </w:rPr>
        <w:t>）招标人责任</w:t>
      </w: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6.1</w:t>
      </w:r>
      <w:r>
        <w:rPr>
          <w:rFonts w:hint="eastAsia" w:ascii="仿宋" w:hAnsi="仿宋" w:eastAsia="仿宋" w:cs="仿宋"/>
          <w:sz w:val="24"/>
          <w:szCs w:val="24"/>
        </w:rPr>
        <w:t>协调落实活动和办公场地，及协调资源调配。</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仿宋" w:hAnsi="仿宋" w:eastAsia="仿宋" w:cs="仿宋"/>
          <w:b/>
          <w:bCs/>
          <w:sz w:val="24"/>
          <w:szCs w:val="24"/>
          <w:lang w:eastAsia="zh-CN"/>
        </w:rPr>
      </w:pPr>
      <w:r>
        <w:rPr>
          <w:rFonts w:hint="eastAsia" w:ascii="仿宋" w:hAnsi="仿宋" w:eastAsia="仿宋" w:cs="仿宋"/>
          <w:b/>
          <w:bCs/>
          <w:sz w:val="24"/>
          <w:szCs w:val="24"/>
          <w:lang w:eastAsia="zh-CN"/>
        </w:rPr>
        <w:t>（</w:t>
      </w:r>
      <w:r>
        <w:rPr>
          <w:rFonts w:hint="eastAsia" w:ascii="仿宋" w:hAnsi="仿宋" w:eastAsia="仿宋" w:cs="仿宋"/>
          <w:b/>
          <w:bCs/>
          <w:sz w:val="24"/>
          <w:szCs w:val="24"/>
          <w:lang w:val="en-US" w:eastAsia="zh-CN"/>
        </w:rPr>
        <w:t>七</w:t>
      </w:r>
      <w:r>
        <w:rPr>
          <w:rFonts w:hint="eastAsia" w:ascii="仿宋" w:hAnsi="仿宋" w:eastAsia="仿宋" w:cs="仿宋"/>
          <w:b/>
          <w:bCs/>
          <w:sz w:val="24"/>
          <w:szCs w:val="24"/>
          <w:lang w:eastAsia="zh-CN"/>
        </w:rPr>
        <w:t>）说明</w:t>
      </w: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7.1为保证招标的公平性，投标人认为上述指标存在排他性或歧视性条款，可以向招标代理人提出书面质疑并附相关证据。</w:t>
      </w:r>
    </w:p>
    <w:p>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7.2如无特别说明，每个项目只允许有一个报价，任何有选择的报价将不予接受。</w:t>
      </w:r>
    </w:p>
    <w:p>
      <w:pPr>
        <w:keepNext w:val="0"/>
        <w:keepLines w:val="0"/>
        <w:pageBreakBefore w:val="0"/>
        <w:widowControl w:val="0"/>
        <w:kinsoku/>
        <w:wordWrap/>
        <w:overflowPunct/>
        <w:topLinePunct w:val="0"/>
        <w:autoSpaceDE/>
        <w:autoSpaceDN/>
        <w:bidi w:val="0"/>
        <w:adjustRightInd/>
        <w:snapToGrid/>
        <w:spacing w:line="336"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7.3</w:t>
      </w:r>
      <w:r>
        <w:rPr>
          <w:rFonts w:hint="eastAsia" w:ascii="仿宋" w:hAnsi="仿宋" w:eastAsia="仿宋" w:cs="仿宋"/>
          <w:sz w:val="24"/>
          <w:szCs w:val="24"/>
        </w:rPr>
        <w:t>项目周期内，项目执行方需要与招标方保持联系，有重大活动提前告知招标方，并提前提交活动策划，招标方有对活动内容进行修改的权利。</w:t>
      </w:r>
    </w:p>
    <w:p>
      <w:pPr>
        <w:keepNext w:val="0"/>
        <w:keepLines w:val="0"/>
        <w:pageBreakBefore w:val="0"/>
        <w:widowControl w:val="0"/>
        <w:kinsoku/>
        <w:wordWrap/>
        <w:overflowPunct/>
        <w:topLinePunct w:val="0"/>
        <w:autoSpaceDE/>
        <w:autoSpaceDN/>
        <w:bidi w:val="0"/>
        <w:adjustRightInd/>
        <w:snapToGrid/>
        <w:spacing w:line="336"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7.4</w:t>
      </w:r>
      <w:r>
        <w:rPr>
          <w:rFonts w:hint="eastAsia" w:ascii="仿宋" w:hAnsi="仿宋" w:eastAsia="仿宋" w:cs="仿宋"/>
          <w:sz w:val="24"/>
          <w:szCs w:val="24"/>
        </w:rPr>
        <w:t>在项目执行过程中，项目执行方如对项目的内容进行修改，需提前告知招标方，经双方协商同意后才能进行修改。</w:t>
      </w:r>
    </w:p>
    <w:p>
      <w:pPr>
        <w:keepNext w:val="0"/>
        <w:keepLines w:val="0"/>
        <w:pageBreakBefore w:val="0"/>
        <w:widowControl w:val="0"/>
        <w:kinsoku/>
        <w:wordWrap/>
        <w:overflowPunct/>
        <w:topLinePunct w:val="0"/>
        <w:autoSpaceDE/>
        <w:autoSpaceDN/>
        <w:bidi w:val="0"/>
        <w:adjustRightInd/>
        <w:snapToGrid/>
        <w:spacing w:line="336"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7.5 项目执行团队可向服务对象收取适当的费用（低于市场价），具体收费标准与明细应提前与招标方进行协商确定，并且项目执行前，确定收费标准，告知招标方；如项目周期内项执行团队对收费标准进行修改，需提前告知招标方并提出书面申请，招标方有建议修改费用明细的权利。</w:t>
      </w:r>
    </w:p>
    <w:p/>
    <w:p>
      <w:bookmarkStart w:id="3" w:name="_GoBack"/>
      <w:bookmarkEnd w:id="3"/>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67310" cy="153035"/>
              <wp:effectExtent l="0" t="0" r="0" b="0"/>
              <wp:wrapNone/>
              <wp:docPr id="1" name="文本框 1"/>
              <wp:cNvGraphicFramePr/>
              <a:graphic xmlns:a="http://schemas.openxmlformats.org/drawingml/2006/main">
                <a:graphicData uri="http://schemas.microsoft.com/office/word/2010/wordprocessingShape">
                  <wps:wsp>
                    <wps:cNvSpPr txBox="1"/>
                    <wps:spPr>
                      <a:xfrm>
                        <a:off x="0" y="0"/>
                        <a:ext cx="67310" cy="153035"/>
                      </a:xfrm>
                      <a:prstGeom prst="rect">
                        <a:avLst/>
                      </a:prstGeom>
                      <a:noFill/>
                      <a:ln w="9525">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2.05pt;width:5.3pt;mso-position-horizontal:center;mso-position-horizontal-relative:margin;mso-wrap-style:none;z-index:251658240;mso-width-relative:page;mso-height-relative:page;" filled="f" stroked="f" coordsize="21600,21600" o:gfxdata="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n&#10;qzVF0AAAAAMBAAAPAAAAAAAAAAEAIAAAACIAAABkcnMvZG93bnJldi54bWxQSwECFAAUAAAACACH&#10;TuJAA1WQ4roBAABRAwAADgAAAAAAAAABACAAAAAfAQAAZHJzL2Uyb0RvYy54bWxQSwUGAAAAAAYA&#10;BgBZAQAASwU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3</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0E01138"/>
    <w:multiLevelType w:val="singleLevel"/>
    <w:tmpl w:val="A0E01138"/>
    <w:lvl w:ilvl="0" w:tentative="0">
      <w:start w:val="5"/>
      <w:numFmt w:val="upperLetter"/>
      <w:suff w:val="nothing"/>
      <w:lvlText w:val="%1-"/>
      <w:lvlJc w:val="left"/>
    </w:lvl>
  </w:abstractNum>
  <w:abstractNum w:abstractNumId="1">
    <w:nsid w:val="0000000A"/>
    <w:multiLevelType w:val="multilevel"/>
    <w:tmpl w:val="0000000A"/>
    <w:lvl w:ilvl="0" w:tentative="0">
      <w:start w:val="8"/>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2">
    <w:nsid w:val="0000000B"/>
    <w:multiLevelType w:val="multilevel"/>
    <w:tmpl w:val="0000000B"/>
    <w:lvl w:ilvl="0" w:tentative="0">
      <w:start w:val="15"/>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3">
    <w:nsid w:val="0000000C"/>
    <w:multiLevelType w:val="multilevel"/>
    <w:tmpl w:val="0000000C"/>
    <w:lvl w:ilvl="0" w:tentative="0">
      <w:start w:val="17"/>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4">
    <w:nsid w:val="0000000D"/>
    <w:multiLevelType w:val="multilevel"/>
    <w:tmpl w:val="0000000D"/>
    <w:lvl w:ilvl="0" w:tentative="0">
      <w:start w:val="12"/>
      <w:numFmt w:val="decimal"/>
      <w:suff w:val="nothing"/>
      <w:lvlText w:val="%1、"/>
      <w:lvlJc w:val="left"/>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5">
    <w:nsid w:val="0D333A77"/>
    <w:multiLevelType w:val="singleLevel"/>
    <w:tmpl w:val="0D333A77"/>
    <w:lvl w:ilvl="0" w:tentative="0">
      <w:start w:val="1"/>
      <w:numFmt w:val="chineseCounting"/>
      <w:suff w:val="nothing"/>
      <w:lvlText w:val="（%1）"/>
      <w:lvlJc w:val="left"/>
      <w:rPr>
        <w:rFonts w:hint="eastAsia"/>
      </w:rPr>
    </w:lvl>
  </w:abstractNum>
  <w:abstractNum w:abstractNumId="6">
    <w:nsid w:val="5515015C"/>
    <w:multiLevelType w:val="singleLevel"/>
    <w:tmpl w:val="5515015C"/>
    <w:lvl w:ilvl="0" w:tentative="0">
      <w:start w:val="1"/>
      <w:numFmt w:val="chineseCounting"/>
      <w:suff w:val="nothing"/>
      <w:lvlText w:val="%1、"/>
      <w:lvlJc w:val="left"/>
    </w:lvl>
  </w:abstractNum>
  <w:abstractNum w:abstractNumId="7">
    <w:nsid w:val="551503D6"/>
    <w:multiLevelType w:val="singleLevel"/>
    <w:tmpl w:val="551503D6"/>
    <w:lvl w:ilvl="0" w:tentative="0">
      <w:start w:val="1"/>
      <w:numFmt w:val="chineseCounting"/>
      <w:suff w:val="nothing"/>
      <w:lvlText w:val="（%1）"/>
      <w:lvlJc w:val="left"/>
    </w:lvl>
  </w:abstractNum>
  <w:num w:numId="1">
    <w:abstractNumId w:val="0"/>
  </w:num>
  <w:num w:numId="2">
    <w:abstractNumId w:val="1"/>
  </w:num>
  <w:num w:numId="3">
    <w:abstractNumId w:val="4"/>
  </w:num>
  <w:num w:numId="4">
    <w:abstractNumId w:val="2"/>
  </w:num>
  <w:num w:numId="5">
    <w:abstractNumId w:val="3"/>
  </w:num>
  <w:num w:numId="6">
    <w:abstractNumId w:val="6"/>
  </w:num>
  <w:num w:numId="7">
    <w:abstractNumId w:val="7"/>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653C08"/>
    <w:rsid w:val="000C6F04"/>
    <w:rsid w:val="0B653C08"/>
    <w:rsid w:val="365D4049"/>
    <w:rsid w:val="518F6450"/>
    <w:rsid w:val="55161ED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lang w:val="en-US" w:eastAsia="zh-CN" w:bidi="ar-SA"/>
    </w:rPr>
  </w:style>
  <w:style w:type="character" w:default="1" w:styleId="6">
    <w:name w:val="Default Paragraph Font"/>
    <w:semiHidden/>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kern w:val="0"/>
      <w:sz w:val="18"/>
    </w:rPr>
  </w:style>
  <w:style w:type="paragraph" w:styleId="3">
    <w:name w:val="Body Text 2"/>
    <w:basedOn w:val="1"/>
    <w:unhideWhenUsed/>
    <w:qFormat/>
    <w:uiPriority w:val="99"/>
    <w:pPr>
      <w:spacing w:beforeLines="0" w:afterLines="0"/>
      <w:ind w:firstLine="570"/>
    </w:pPr>
    <w:rPr>
      <w:rFonts w:hint="eastAsia" w:ascii="宋体"/>
      <w:sz w:val="28"/>
    </w:rPr>
  </w:style>
  <w:style w:type="paragraph" w:styleId="4">
    <w:name w:val="Normal (Web)"/>
    <w:basedOn w:val="1"/>
    <w:unhideWhenUsed/>
    <w:qFormat/>
    <w:uiPriority w:val="99"/>
    <w:pPr>
      <w:widowControl/>
      <w:spacing w:before="100" w:beforeLines="0" w:beforeAutospacing="1" w:after="100" w:afterLines="0" w:afterAutospacing="1"/>
      <w:jc w:val="left"/>
    </w:pPr>
    <w:rPr>
      <w:rFonts w:hint="eastAsia" w:ascii="宋体" w:hAnsi="宋体"/>
      <w:sz w:val="24"/>
    </w:rPr>
  </w:style>
  <w:style w:type="paragraph" w:styleId="5">
    <w:name w:val="Title"/>
    <w:basedOn w:val="1"/>
    <w:qFormat/>
    <w:uiPriority w:val="0"/>
    <w:pPr>
      <w:spacing w:before="240" w:beforeLines="0" w:beforeAutospacing="0" w:after="60" w:afterLines="0" w:afterAutospacing="0"/>
      <w:jc w:val="center"/>
      <w:outlineLvl w:val="0"/>
    </w:pPr>
    <w:rPr>
      <w:rFonts w:ascii="Arial" w:hAnsi="Arial"/>
      <w:b/>
      <w:sz w:val="32"/>
    </w:rPr>
  </w:style>
  <w:style w:type="character" w:styleId="7">
    <w:name w:val="Strong"/>
    <w:qFormat/>
    <w:uiPriority w:val="22"/>
    <w:rPr>
      <w:rFonts w:hint="default"/>
      <w:b/>
      <w:sz w:val="24"/>
    </w:rPr>
  </w:style>
  <w:style w:type="character" w:styleId="8">
    <w:name w:val="Hyperlink"/>
    <w:basedOn w:val="6"/>
    <w:qFormat/>
    <w:uiPriority w:val="0"/>
    <w:rPr>
      <w:color w:val="0000FF"/>
      <w:u w:val="single"/>
    </w:rPr>
  </w:style>
  <w:style w:type="paragraph" w:customStyle="1" w:styleId="10">
    <w:name w:val="目录样式"/>
    <w:basedOn w:val="5"/>
    <w:qFormat/>
    <w:uiPriority w:val="0"/>
    <w:rPr>
      <w:rFonts w:ascii="Arial" w:hAnsi="Arial" w:eastAsia="方正小标宋简体"/>
      <w:szCs w:val="22"/>
    </w:rPr>
  </w:style>
  <w:style w:type="paragraph" w:styleId="11">
    <w:name w:val="List Paragraph"/>
    <w:basedOn w:val="1"/>
    <w:qFormat/>
    <w:uiPriority w:val="34"/>
    <w:pPr>
      <w:ind w:firstLine="420" w:firstLineChars="200"/>
    </w:pPr>
    <w:rPr>
      <w:rFonts w:ascii="Times New Roman" w:hAnsi="Times New Roman" w:cs="Times New Roman"/>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29</TotalTime>
  <ScaleCrop>false</ScaleCrop>
  <LinksUpToDate>false</LinksUpToDate>
  <CharactersWithSpaces>0</CharactersWithSpaces>
  <Application>WPS Office_11.1.0.8214_F1E327BC-269C-435d-A152-05C5408002CA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2019-02-20T07:02:00Z</dcterms:created>
  <dc:creator>琪琪</dc:creator>
  <cp:lastModifiedBy>琪琪</cp:lastModifiedBy>
  <dcterms:modified xsi:type="dcterms:W3CDTF">2019-02-26T09:46:30Z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