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val="0"/>
        <w:tabs>
          <w:tab w:val="center" w:pos="4153"/>
          <w:tab w:val="left" w:pos="7410"/>
        </w:tabs>
        <w:snapToGrid w:val="0"/>
        <w:jc w:val="center"/>
        <w:rPr>
          <w:rFonts w:hint="eastAsia" w:ascii="黑体" w:eastAsia="黑体"/>
          <w:sz w:val="32"/>
          <w:lang w:eastAsia="zh-CN"/>
        </w:rPr>
      </w:pPr>
    </w:p>
    <w:p>
      <w:pPr>
        <w:pStyle w:val="4"/>
        <w:keepNext w:val="0"/>
        <w:keepLines w:val="0"/>
        <w:pageBreakBefore w:val="0"/>
        <w:widowControl w:val="0"/>
        <w:tabs>
          <w:tab w:val="center" w:pos="4153"/>
          <w:tab w:val="left" w:pos="7410"/>
        </w:tabs>
        <w:kinsoku/>
        <w:wordWrap/>
        <w:overflowPunct/>
        <w:topLinePunct w:val="0"/>
        <w:autoSpaceDE/>
        <w:autoSpaceDN/>
        <w:bidi w:val="0"/>
        <w:adjustRightInd/>
        <w:snapToGrid w:val="0"/>
        <w:spacing w:line="360" w:lineRule="auto"/>
        <w:jc w:val="center"/>
        <w:textAlignment w:val="auto"/>
        <w:rPr>
          <w:rFonts w:hint="default" w:ascii="华文中宋" w:hAnsi="华文中宋" w:eastAsia="华文中宋" w:cs="华文中宋"/>
          <w:sz w:val="32"/>
          <w:szCs w:val="22"/>
        </w:rPr>
      </w:pPr>
      <w:r>
        <w:rPr>
          <w:rFonts w:hint="eastAsia" w:ascii="华文中宋" w:hAnsi="华文中宋" w:eastAsia="华文中宋" w:cs="华文中宋"/>
          <w:w w:val="98"/>
          <w:sz w:val="32"/>
          <w:szCs w:val="22"/>
          <w:lang w:eastAsia="zh-CN"/>
        </w:rPr>
        <w:t>五里桥街道滨江党建服务站和世博滨江党建服务站托管项目</w:t>
      </w:r>
      <w:r>
        <w:rPr>
          <w:rFonts w:hint="eastAsia" w:ascii="华文中宋" w:hAnsi="华文中宋" w:eastAsia="华文中宋" w:cs="华文中宋"/>
          <w:sz w:val="32"/>
          <w:szCs w:val="22"/>
        </w:rPr>
        <w:t>招标文件</w:t>
      </w:r>
    </w:p>
    <w:p>
      <w:pPr>
        <w:pStyle w:val="4"/>
        <w:widowControl w:val="0"/>
        <w:tabs>
          <w:tab w:val="center" w:pos="4153"/>
          <w:tab w:val="left" w:pos="7410"/>
        </w:tabs>
        <w:snapToGrid w:val="0"/>
        <w:jc w:val="center"/>
        <w:rPr>
          <w:rFonts w:hint="default"/>
          <w:b/>
          <w:color w:val="000000"/>
          <w:sz w:val="28"/>
        </w:rPr>
      </w:pPr>
    </w:p>
    <w:p>
      <w:pPr>
        <w:pStyle w:val="4"/>
        <w:widowControl w:val="0"/>
        <w:tabs>
          <w:tab w:val="center" w:pos="4153"/>
          <w:tab w:val="left" w:pos="7410"/>
        </w:tabs>
        <w:snapToGrid w:val="0"/>
        <w:jc w:val="center"/>
        <w:rPr>
          <w:rFonts w:ascii="黑体" w:eastAsia="黑体"/>
          <w:color w:val="000000"/>
          <w:sz w:val="30"/>
        </w:rPr>
      </w:pPr>
    </w:p>
    <w:p>
      <w:pPr>
        <w:pStyle w:val="4"/>
        <w:widowControl w:val="0"/>
        <w:tabs>
          <w:tab w:val="center" w:pos="4153"/>
          <w:tab w:val="left" w:pos="7410"/>
        </w:tabs>
        <w:snapToGrid w:val="0"/>
        <w:jc w:val="center"/>
        <w:rPr>
          <w:rFonts w:ascii="黑体" w:eastAsia="黑体"/>
          <w:color w:val="000000"/>
          <w:sz w:val="30"/>
        </w:rPr>
      </w:pPr>
    </w:p>
    <w:p>
      <w:pPr>
        <w:pStyle w:val="4"/>
        <w:widowControl w:val="0"/>
        <w:tabs>
          <w:tab w:val="center" w:pos="4153"/>
          <w:tab w:val="left" w:pos="7410"/>
        </w:tabs>
        <w:snapToGrid w:val="0"/>
        <w:jc w:val="both"/>
        <w:rPr>
          <w:rFonts w:ascii="楷体_GB2312" w:eastAsia="楷体_GB2312"/>
          <w:w w:val="88"/>
          <w:sz w:val="28"/>
          <w:szCs w:val="21"/>
          <w:u w:val="single"/>
          <w:lang w:val="en-US"/>
        </w:rPr>
      </w:pPr>
      <w:r>
        <w:rPr>
          <w:rFonts w:ascii="黑体" w:eastAsia="黑体"/>
          <w:color w:val="000000"/>
          <w:sz w:val="30"/>
        </w:rPr>
        <w:t>项目名称</w:t>
      </w:r>
      <w:r>
        <w:rPr>
          <w:color w:val="000000"/>
          <w:sz w:val="30"/>
        </w:rPr>
        <w:t>：</w:t>
      </w:r>
      <w:r>
        <w:rPr>
          <w:rFonts w:hint="eastAsia" w:ascii="楷体_GB2312" w:eastAsia="楷体_GB2312"/>
          <w:w w:val="88"/>
          <w:sz w:val="30"/>
          <w:szCs w:val="30"/>
          <w:u w:val="single"/>
          <w:lang w:val="en-US" w:eastAsia="zh-CN"/>
        </w:rPr>
        <w:t xml:space="preserve">五里桥街道滨江党建服务站和世博滨江党建服务站托管项目  </w:t>
      </w:r>
      <w:r>
        <w:rPr>
          <w:rFonts w:hint="eastAsia" w:ascii="楷体_GB2312" w:eastAsia="楷体_GB2312"/>
          <w:w w:val="88"/>
          <w:sz w:val="28"/>
          <w:szCs w:val="21"/>
          <w:u w:val="single"/>
          <w:lang w:val="en-US" w:eastAsia="zh-CN"/>
        </w:rPr>
        <w:t xml:space="preserve">      </w:t>
      </w:r>
    </w:p>
    <w:p>
      <w:pPr>
        <w:pStyle w:val="4"/>
        <w:widowControl w:val="0"/>
        <w:tabs>
          <w:tab w:val="center" w:pos="4153"/>
          <w:tab w:val="left" w:pos="7410"/>
        </w:tabs>
        <w:snapToGrid w:val="0"/>
        <w:jc w:val="both"/>
        <w:rPr>
          <w:rFonts w:hint="eastAsia" w:eastAsia="楷体_GB2312"/>
          <w:u w:val="single"/>
          <w:lang w:val="en-US" w:eastAsia="zh-CN"/>
        </w:rPr>
      </w:pPr>
      <w:r>
        <w:rPr>
          <w:rFonts w:ascii="黑体" w:eastAsia="黑体"/>
          <w:sz w:val="30"/>
        </w:rPr>
        <w:t>招标编号</w:t>
      </w:r>
      <w:r>
        <w:rPr>
          <w:rFonts w:ascii="楷体_GB2312" w:eastAsia="楷体_GB2312"/>
          <w:sz w:val="30"/>
        </w:rPr>
        <w:t>：</w:t>
      </w:r>
      <w:r>
        <w:rPr>
          <w:rFonts w:ascii="楷体_GB2312" w:eastAsia="楷体_GB2312"/>
          <w:sz w:val="30"/>
          <w:u w:val="single"/>
        </w:rPr>
        <w:t>HPWL</w:t>
      </w:r>
      <w:r>
        <w:rPr>
          <w:rFonts w:hint="eastAsia" w:ascii="楷体_GB2312" w:eastAsia="楷体_GB2312"/>
          <w:sz w:val="30"/>
          <w:u w:val="single"/>
          <w:lang w:val="en-US" w:eastAsia="zh-CN"/>
        </w:rPr>
        <w:t xml:space="preserve">201908                                   </w:t>
      </w:r>
    </w:p>
    <w:p>
      <w:pPr>
        <w:pStyle w:val="4"/>
        <w:widowControl w:val="0"/>
        <w:tabs>
          <w:tab w:val="center" w:pos="4153"/>
          <w:tab w:val="left" w:pos="7410"/>
        </w:tabs>
        <w:snapToGrid w:val="0"/>
        <w:jc w:val="center"/>
        <w:rPr>
          <w:rFonts w:hint="default"/>
          <w:color w:val="000000"/>
          <w:sz w:val="30"/>
        </w:rPr>
      </w:pPr>
    </w:p>
    <w:p>
      <w:pPr>
        <w:pStyle w:val="4"/>
        <w:widowControl w:val="0"/>
        <w:snapToGrid w:val="0"/>
        <w:jc w:val="center"/>
        <w:rPr>
          <w:rFonts w:hint="default"/>
          <w:b/>
          <w:color w:val="000000"/>
          <w:sz w:val="28"/>
        </w:rPr>
      </w:pPr>
    </w:p>
    <w:p>
      <w:pPr>
        <w:pStyle w:val="4"/>
        <w:widowControl w:val="0"/>
        <w:snapToGrid w:val="0"/>
        <w:jc w:val="center"/>
        <w:rPr>
          <w:rFonts w:hint="default"/>
          <w:b/>
          <w:color w:val="000000"/>
          <w:sz w:val="28"/>
        </w:rPr>
      </w:pPr>
    </w:p>
    <w:p>
      <w:pPr>
        <w:pStyle w:val="4"/>
        <w:widowControl w:val="0"/>
        <w:snapToGrid w:val="0"/>
        <w:jc w:val="center"/>
        <w:rPr>
          <w:rFonts w:hint="default"/>
          <w:b/>
          <w:color w:val="000000"/>
          <w:sz w:val="28"/>
        </w:rPr>
      </w:pPr>
    </w:p>
    <w:p>
      <w:pPr>
        <w:pStyle w:val="4"/>
        <w:widowControl w:val="0"/>
        <w:snapToGrid w:val="0"/>
        <w:jc w:val="center"/>
        <w:rPr>
          <w:rStyle w:val="7"/>
          <w:rFonts w:hint="eastAsia"/>
          <w:b w:val="0"/>
          <w:color w:val="000000"/>
          <w:sz w:val="28"/>
        </w:rPr>
      </w:pPr>
    </w:p>
    <w:p>
      <w:pPr>
        <w:pStyle w:val="4"/>
        <w:widowControl w:val="0"/>
        <w:snapToGrid w:val="0"/>
        <w:jc w:val="center"/>
        <w:rPr>
          <w:rStyle w:val="7"/>
          <w:rFonts w:hint="eastAsia" w:ascii="黑体" w:eastAsia="黑体"/>
          <w:b w:val="0"/>
          <w:sz w:val="28"/>
        </w:rPr>
      </w:pPr>
    </w:p>
    <w:p>
      <w:pPr>
        <w:pStyle w:val="4"/>
        <w:widowControl w:val="0"/>
        <w:snapToGrid w:val="0"/>
        <w:jc w:val="center"/>
        <w:rPr>
          <w:rStyle w:val="7"/>
          <w:rFonts w:hint="eastAsia" w:ascii="黑体" w:eastAsia="黑体"/>
          <w:b w:val="0"/>
          <w:sz w:val="28"/>
        </w:rPr>
      </w:pPr>
    </w:p>
    <w:p>
      <w:pPr>
        <w:pStyle w:val="4"/>
        <w:widowControl w:val="0"/>
        <w:snapToGrid w:val="0"/>
        <w:jc w:val="both"/>
        <w:rPr>
          <w:rStyle w:val="7"/>
          <w:rFonts w:hint="eastAsia" w:ascii="黑体" w:eastAsia="黑体"/>
          <w:b w:val="0"/>
          <w:sz w:val="28"/>
        </w:rPr>
      </w:pPr>
    </w:p>
    <w:p>
      <w:pPr>
        <w:pStyle w:val="4"/>
        <w:widowControl w:val="0"/>
        <w:snapToGrid w:val="0"/>
        <w:jc w:val="both"/>
        <w:rPr>
          <w:rStyle w:val="7"/>
          <w:rFonts w:hint="eastAsia" w:ascii="楷体" w:hAnsi="楷体" w:eastAsia="楷体" w:cs="楷体"/>
          <w:b w:val="0"/>
          <w:sz w:val="30"/>
          <w:szCs w:val="30"/>
          <w:u w:val="single"/>
          <w:lang w:val="en-US" w:eastAsia="zh-CN"/>
        </w:rPr>
      </w:pPr>
      <w:r>
        <w:rPr>
          <w:rStyle w:val="7"/>
          <w:rFonts w:hint="eastAsia" w:ascii="黑体" w:eastAsia="黑体"/>
          <w:b w:val="0"/>
          <w:sz w:val="28"/>
        </w:rPr>
        <w:t>招  标  人</w:t>
      </w:r>
      <w:r>
        <w:rPr>
          <w:rStyle w:val="7"/>
          <w:rFonts w:hint="eastAsia"/>
          <w:b w:val="0"/>
          <w:sz w:val="28"/>
        </w:rPr>
        <w:t>：</w:t>
      </w:r>
      <w:r>
        <w:rPr>
          <w:rStyle w:val="7"/>
          <w:rFonts w:hint="eastAsia" w:ascii="楷体" w:hAnsi="楷体" w:eastAsia="楷体" w:cs="楷体"/>
          <w:b w:val="0"/>
          <w:sz w:val="30"/>
          <w:szCs w:val="30"/>
          <w:u w:val="single"/>
        </w:rPr>
        <w:t>上海市黄浦区</w:t>
      </w:r>
      <w:r>
        <w:rPr>
          <w:rStyle w:val="7"/>
          <w:rFonts w:hint="eastAsia" w:ascii="楷体" w:hAnsi="楷体" w:eastAsia="楷体" w:cs="楷体"/>
          <w:b w:val="0"/>
          <w:sz w:val="30"/>
          <w:szCs w:val="30"/>
          <w:u w:val="single"/>
          <w:lang w:val="en-US" w:eastAsia="zh-CN"/>
        </w:rPr>
        <w:t>人民政府</w:t>
      </w:r>
      <w:r>
        <w:rPr>
          <w:rStyle w:val="7"/>
          <w:rFonts w:hint="eastAsia" w:ascii="楷体" w:hAnsi="楷体" w:eastAsia="楷体" w:cs="楷体"/>
          <w:b w:val="0"/>
          <w:sz w:val="30"/>
          <w:szCs w:val="30"/>
          <w:u w:val="single"/>
        </w:rPr>
        <w:t>五里桥街道</w:t>
      </w:r>
      <w:bookmarkStart w:id="0" w:name="需求单位"/>
      <w:bookmarkEnd w:id="0"/>
      <w:r>
        <w:rPr>
          <w:rStyle w:val="7"/>
          <w:rFonts w:hint="eastAsia" w:ascii="楷体" w:hAnsi="楷体" w:eastAsia="楷体" w:cs="楷体"/>
          <w:b w:val="0"/>
          <w:sz w:val="30"/>
          <w:szCs w:val="30"/>
          <w:u w:val="single"/>
          <w:lang w:val="en-US" w:eastAsia="zh-CN"/>
        </w:rPr>
        <w:t xml:space="preserve">办事处  </w:t>
      </w:r>
    </w:p>
    <w:p>
      <w:pPr>
        <w:pStyle w:val="4"/>
        <w:widowControl w:val="0"/>
        <w:snapToGrid w:val="0"/>
        <w:jc w:val="both"/>
        <w:rPr>
          <w:rStyle w:val="7"/>
          <w:rFonts w:hint="eastAsia" w:cs="宋体"/>
          <w:b w:val="0"/>
          <w:color w:val="000000"/>
          <w:sz w:val="28"/>
          <w:u w:val="single"/>
          <w:lang w:val="en-US"/>
        </w:rPr>
      </w:pPr>
      <w:r>
        <w:rPr>
          <w:rStyle w:val="7"/>
          <w:rFonts w:hint="eastAsia" w:ascii="黑体" w:eastAsia="黑体"/>
          <w:b w:val="0"/>
          <w:color w:val="000000"/>
          <w:sz w:val="28"/>
        </w:rPr>
        <w:t>招标代理人</w:t>
      </w:r>
      <w:bookmarkStart w:id="1" w:name="招标日期"/>
      <w:bookmarkEnd w:id="1"/>
      <w:r>
        <w:rPr>
          <w:rStyle w:val="7"/>
          <w:rFonts w:hint="eastAsia" w:ascii="黑体" w:eastAsia="黑体"/>
          <w:b w:val="0"/>
          <w:color w:val="000000"/>
          <w:sz w:val="28"/>
        </w:rPr>
        <w:t>：</w:t>
      </w:r>
      <w:r>
        <w:rPr>
          <w:rStyle w:val="7"/>
          <w:rFonts w:hint="eastAsia" w:ascii="楷体" w:hAnsi="楷体" w:eastAsia="楷体" w:cs="楷体"/>
          <w:b w:val="0"/>
          <w:bCs/>
          <w:color w:val="000000"/>
          <w:sz w:val="30"/>
          <w:szCs w:val="30"/>
          <w:u w:val="single"/>
          <w:lang w:val="en-US" w:eastAsia="zh-CN"/>
        </w:rPr>
        <w:t xml:space="preserve">上海黄浦区五里桥社区社会组织服务中心  </w:t>
      </w:r>
    </w:p>
    <w:p>
      <w:pPr>
        <w:pStyle w:val="4"/>
        <w:widowControl w:val="0"/>
        <w:snapToGrid w:val="0"/>
        <w:jc w:val="center"/>
        <w:rPr>
          <w:rStyle w:val="7"/>
          <w:rFonts w:hint="eastAsia" w:cs="宋体"/>
          <w:b w:val="0"/>
          <w:color w:val="000000"/>
          <w:sz w:val="28"/>
          <w:u w:val="single"/>
        </w:rPr>
      </w:pPr>
    </w:p>
    <w:p>
      <w:pPr>
        <w:pStyle w:val="4"/>
        <w:widowControl w:val="0"/>
        <w:snapToGrid w:val="0"/>
        <w:jc w:val="center"/>
        <w:rPr>
          <w:rStyle w:val="7"/>
          <w:rFonts w:hint="eastAsia" w:ascii="黑体" w:eastAsia="黑体"/>
          <w:b w:val="0"/>
          <w:color w:val="000000"/>
          <w:sz w:val="28"/>
        </w:rPr>
      </w:pPr>
    </w:p>
    <w:p>
      <w:pPr>
        <w:pStyle w:val="4"/>
        <w:widowControl w:val="0"/>
        <w:snapToGrid w:val="0"/>
        <w:jc w:val="center"/>
        <w:rPr>
          <w:rStyle w:val="7"/>
          <w:rFonts w:hint="eastAsia" w:ascii="黑体" w:eastAsia="黑体"/>
          <w:b w:val="0"/>
          <w:color w:val="000000"/>
          <w:sz w:val="28"/>
        </w:rPr>
      </w:pPr>
    </w:p>
    <w:p>
      <w:pPr>
        <w:jc w:val="center"/>
        <w:rPr>
          <w:rFonts w:ascii="华文中宋" w:hAnsi="华文中宋" w:eastAsia="华文中宋"/>
          <w:b w:val="0"/>
          <w:bCs/>
          <w:sz w:val="32"/>
        </w:rPr>
      </w:pPr>
      <w:r>
        <w:rPr>
          <w:rFonts w:hint="eastAsia" w:ascii="华文中宋" w:hAnsi="华文中宋" w:eastAsia="华文中宋"/>
          <w:b w:val="0"/>
          <w:bCs/>
          <w:sz w:val="32"/>
        </w:rPr>
        <w:t>第一章  投标邀请</w:t>
      </w:r>
    </w:p>
    <w:p>
      <w:pPr>
        <w:pStyle w:val="3"/>
        <w:ind w:firstLine="420" w:firstLineChars="200"/>
        <w:rPr>
          <w:rFonts w:hint="default"/>
          <w:sz w:val="21"/>
        </w:rPr>
      </w:pPr>
    </w:p>
    <w:p>
      <w:pPr>
        <w:pStyle w:val="3"/>
        <w:spacing w:line="360" w:lineRule="auto"/>
        <w:ind w:firstLine="480"/>
        <w:rPr>
          <w:rFonts w:ascii="Times New Roman" w:eastAsia="仿宋_GB2312"/>
          <w:color w:val="auto"/>
          <w:sz w:val="24"/>
        </w:rPr>
      </w:pPr>
      <w:r>
        <w:rPr>
          <w:rFonts w:hint="eastAsia" w:ascii="Times New Roman" w:eastAsia="仿宋_GB2312"/>
          <w:color w:val="auto"/>
          <w:sz w:val="24"/>
          <w:lang w:val="en-US" w:eastAsia="zh-CN"/>
        </w:rPr>
        <w:t>上海黄浦区五里桥社区社会组织服务中心</w:t>
      </w:r>
      <w:r>
        <w:rPr>
          <w:rFonts w:ascii="Times New Roman" w:eastAsia="仿宋_GB2312"/>
          <w:color w:val="auto"/>
          <w:sz w:val="24"/>
        </w:rPr>
        <w:t>受五里桥街道委托，对</w:t>
      </w:r>
      <w:r>
        <w:rPr>
          <w:rFonts w:hint="eastAsia" w:ascii="Times New Roman" w:eastAsia="仿宋_GB2312"/>
          <w:color w:val="auto"/>
          <w:sz w:val="24"/>
          <w:szCs w:val="22"/>
          <w:lang w:val="en-US" w:eastAsia="zh-CN"/>
        </w:rPr>
        <w:t>五里桥街道滨江党建服务站和世博滨江党建服务站托管项目</w:t>
      </w:r>
      <w:r>
        <w:rPr>
          <w:rFonts w:ascii="Times New Roman" w:eastAsia="仿宋_GB2312"/>
          <w:color w:val="auto"/>
          <w:sz w:val="24"/>
        </w:rPr>
        <w:t>进行国内公开招标，特邀请合格的投标人前来投标。</w:t>
      </w:r>
    </w:p>
    <w:p>
      <w:pPr>
        <w:spacing w:line="360" w:lineRule="auto"/>
        <w:rPr>
          <w:rFonts w:hint="eastAsia" w:ascii="黑体" w:hAnsi="黑体" w:eastAsia="黑体" w:cs="黑体"/>
          <w:sz w:val="24"/>
        </w:rPr>
      </w:pPr>
      <w:r>
        <w:rPr>
          <w:rFonts w:hint="eastAsia" w:ascii="仿宋" w:hAnsi="仿宋" w:eastAsia="仿宋"/>
          <w:sz w:val="24"/>
        </w:rPr>
        <w:t xml:space="preserve">   </w:t>
      </w:r>
      <w:r>
        <w:rPr>
          <w:rFonts w:hint="eastAsia" w:ascii="黑体" w:hAnsi="黑体" w:eastAsia="黑体" w:cs="黑体"/>
          <w:sz w:val="24"/>
          <w:lang w:val="en-US" w:eastAsia="zh-CN"/>
        </w:rPr>
        <w:t>一、采购信息</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1.1招标编号</w:t>
      </w:r>
      <w:r>
        <w:rPr>
          <w:rFonts w:hint="eastAsia" w:eastAsia="仿宋_GB2312"/>
          <w:color w:val="auto"/>
          <w:sz w:val="24"/>
          <w:lang w:eastAsia="zh-CN"/>
        </w:rPr>
        <w:t>：</w:t>
      </w:r>
      <w:r>
        <w:rPr>
          <w:rFonts w:eastAsia="仿宋_GB2312"/>
          <w:color w:val="auto"/>
          <w:sz w:val="24"/>
        </w:rPr>
        <w:t>HPWL201</w:t>
      </w:r>
      <w:r>
        <w:rPr>
          <w:rFonts w:hint="eastAsia" w:eastAsia="仿宋_GB2312"/>
          <w:color w:val="auto"/>
          <w:sz w:val="24"/>
          <w:lang w:val="en-US" w:eastAsia="zh-CN"/>
        </w:rPr>
        <w:t>908</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1.2项目名称：五里桥街道滨江党建服务站和世博滨江党建服务站托管项目</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1.3服务对象：</w:t>
      </w:r>
      <w:r>
        <w:rPr>
          <w:rFonts w:hint="eastAsia" w:eastAsia="仿宋_GB2312"/>
          <w:color w:val="auto"/>
          <w:sz w:val="24"/>
          <w:lang w:val="en-US" w:eastAsia="zh-CN"/>
        </w:rPr>
        <w:t>五里桥党员、社区居民</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1.4项目实施地点：五里桥</w:t>
      </w:r>
      <w:r>
        <w:rPr>
          <w:rFonts w:hint="eastAsia" w:eastAsia="仿宋_GB2312"/>
          <w:color w:val="auto"/>
          <w:sz w:val="24"/>
          <w:lang w:val="en-US" w:eastAsia="zh-CN"/>
        </w:rPr>
        <w:t>街道</w:t>
      </w:r>
    </w:p>
    <w:p>
      <w:pPr>
        <w:spacing w:line="360" w:lineRule="auto"/>
        <w:ind w:firstLine="480" w:firstLineChars="200"/>
        <w:rPr>
          <w:rFonts w:hint="eastAsia" w:eastAsia="仿宋_GB2312"/>
          <w:color w:val="auto"/>
          <w:sz w:val="24"/>
        </w:rPr>
      </w:pPr>
      <w:r>
        <w:rPr>
          <w:rFonts w:hint="eastAsia" w:eastAsia="仿宋_GB2312"/>
          <w:color w:val="auto"/>
          <w:sz w:val="24"/>
        </w:rPr>
        <w:t>1.5项目周期：</w:t>
      </w:r>
      <w:r>
        <w:rPr>
          <w:rFonts w:hint="eastAsia" w:eastAsia="仿宋_GB2312"/>
          <w:color w:val="auto"/>
          <w:sz w:val="24"/>
          <w:szCs w:val="22"/>
        </w:rPr>
        <w:t>201</w:t>
      </w:r>
      <w:r>
        <w:rPr>
          <w:rFonts w:hint="eastAsia" w:eastAsia="仿宋_GB2312"/>
          <w:color w:val="auto"/>
          <w:sz w:val="24"/>
          <w:szCs w:val="22"/>
          <w:lang w:val="en-US" w:eastAsia="zh-CN"/>
        </w:rPr>
        <w:t>9</w:t>
      </w:r>
      <w:r>
        <w:rPr>
          <w:rFonts w:hint="eastAsia" w:eastAsia="仿宋_GB2312"/>
          <w:color w:val="auto"/>
          <w:sz w:val="24"/>
          <w:szCs w:val="22"/>
        </w:rPr>
        <w:t>年</w:t>
      </w:r>
      <w:r>
        <w:rPr>
          <w:rFonts w:hint="eastAsia" w:eastAsia="仿宋_GB2312"/>
          <w:color w:val="auto"/>
          <w:sz w:val="24"/>
          <w:szCs w:val="22"/>
          <w:lang w:val="en-US" w:eastAsia="zh-CN"/>
        </w:rPr>
        <w:t>1</w:t>
      </w:r>
      <w:r>
        <w:rPr>
          <w:rFonts w:hint="eastAsia" w:eastAsia="仿宋_GB2312"/>
          <w:color w:val="auto"/>
          <w:sz w:val="24"/>
          <w:szCs w:val="22"/>
        </w:rPr>
        <w:t>月</w:t>
      </w:r>
      <w:r>
        <w:rPr>
          <w:rFonts w:hint="eastAsia" w:eastAsia="仿宋_GB2312"/>
          <w:color w:val="auto"/>
          <w:sz w:val="24"/>
          <w:szCs w:val="22"/>
          <w:lang w:eastAsia="zh-CN"/>
        </w:rPr>
        <w:t>—</w:t>
      </w:r>
      <w:r>
        <w:rPr>
          <w:rFonts w:hint="eastAsia" w:eastAsia="仿宋_GB2312"/>
          <w:color w:val="auto"/>
          <w:sz w:val="24"/>
          <w:szCs w:val="22"/>
        </w:rPr>
        <w:t>2019年</w:t>
      </w:r>
      <w:r>
        <w:rPr>
          <w:rFonts w:hint="eastAsia" w:eastAsia="仿宋_GB2312"/>
          <w:color w:val="auto"/>
          <w:sz w:val="24"/>
          <w:szCs w:val="22"/>
          <w:lang w:val="en-US" w:eastAsia="zh-CN"/>
        </w:rPr>
        <w:t>12</w:t>
      </w:r>
      <w:r>
        <w:rPr>
          <w:rFonts w:hint="eastAsia" w:eastAsia="仿宋_GB2312"/>
          <w:color w:val="auto"/>
          <w:sz w:val="24"/>
          <w:szCs w:val="22"/>
        </w:rPr>
        <w:t>月</w:t>
      </w:r>
    </w:p>
    <w:p>
      <w:pPr>
        <w:spacing w:line="360" w:lineRule="auto"/>
        <w:ind w:firstLine="480" w:firstLineChars="200"/>
        <w:rPr>
          <w:rFonts w:hint="eastAsia" w:eastAsia="仿宋_GB2312"/>
          <w:color w:val="auto"/>
          <w:sz w:val="24"/>
        </w:rPr>
      </w:pPr>
      <w:r>
        <w:rPr>
          <w:rFonts w:hint="eastAsia" w:eastAsia="仿宋_GB2312"/>
          <w:color w:val="auto"/>
          <w:sz w:val="24"/>
        </w:rPr>
        <w:t>1.6最高限价：</w:t>
      </w:r>
      <w:r>
        <w:rPr>
          <w:rFonts w:hint="eastAsia" w:eastAsia="仿宋_GB2312"/>
          <w:color w:val="auto"/>
          <w:sz w:val="24"/>
          <w:lang w:val="en-US" w:eastAsia="zh-CN"/>
        </w:rPr>
        <w:t>160000</w:t>
      </w:r>
      <w:r>
        <w:rPr>
          <w:rFonts w:hint="eastAsia" w:eastAsia="仿宋_GB2312"/>
          <w:color w:val="auto"/>
          <w:sz w:val="24"/>
        </w:rPr>
        <w:t>元</w:t>
      </w:r>
    </w:p>
    <w:p>
      <w:pPr>
        <w:spacing w:line="360" w:lineRule="auto"/>
        <w:ind w:firstLine="480" w:firstLineChars="200"/>
        <w:rPr>
          <w:rFonts w:hint="eastAsia" w:eastAsia="仿宋_GB2312"/>
          <w:sz w:val="24"/>
          <w:lang w:eastAsia="zh-CN"/>
        </w:rPr>
      </w:pPr>
      <w:r>
        <w:rPr>
          <w:rFonts w:hint="eastAsia" w:eastAsia="仿宋_GB2312"/>
          <w:sz w:val="24"/>
        </w:rPr>
        <w:t>1.7付款方式：分期付款</w:t>
      </w:r>
      <w:r>
        <w:rPr>
          <w:rFonts w:hint="eastAsia" w:eastAsia="仿宋_GB2312"/>
          <w:sz w:val="24"/>
          <w:lang w:eastAsia="zh-CN"/>
        </w:rPr>
        <w:t>（</w:t>
      </w:r>
      <w:r>
        <w:rPr>
          <w:rFonts w:hint="eastAsia" w:eastAsia="仿宋_GB2312"/>
          <w:sz w:val="24"/>
          <w:lang w:val="en-US" w:eastAsia="zh-CN"/>
        </w:rPr>
        <w:t>具体可由双方协商确定</w:t>
      </w:r>
      <w:r>
        <w:rPr>
          <w:rFonts w:hint="eastAsia" w:eastAsia="仿宋_GB2312"/>
          <w:sz w:val="24"/>
          <w:lang w:eastAsia="zh-CN"/>
        </w:rPr>
        <w:t>）</w:t>
      </w:r>
    </w:p>
    <w:p>
      <w:pPr>
        <w:spacing w:line="360" w:lineRule="auto"/>
        <w:ind w:firstLine="480" w:firstLineChars="200"/>
        <w:rPr>
          <w:rFonts w:hint="eastAsia" w:ascii="黑体" w:hAnsi="黑体" w:eastAsia="黑体" w:cs="黑体"/>
          <w:sz w:val="24"/>
          <w:lang w:val="en-US" w:eastAsia="zh-CN"/>
        </w:rPr>
      </w:pPr>
      <w:r>
        <w:rPr>
          <w:rFonts w:hint="eastAsia" w:ascii="黑体" w:hAnsi="黑体" w:eastAsia="黑体" w:cs="黑体"/>
          <w:sz w:val="24"/>
          <w:lang w:val="en-US" w:eastAsia="zh-CN"/>
        </w:rPr>
        <w:t>二、投标要求</w:t>
      </w:r>
    </w:p>
    <w:p>
      <w:pPr>
        <w:spacing w:line="360" w:lineRule="auto"/>
        <w:ind w:firstLine="480" w:firstLineChars="200"/>
        <w:rPr>
          <w:rFonts w:eastAsia="仿宋_GB2312"/>
          <w:sz w:val="24"/>
        </w:rPr>
      </w:pPr>
      <w:r>
        <w:rPr>
          <w:rFonts w:hint="eastAsia" w:eastAsia="仿宋_GB2312"/>
          <w:sz w:val="24"/>
        </w:rPr>
        <w:t>2.1依法登记的社会团体、民办非企业单位和公益性非营利的事业单位</w:t>
      </w:r>
    </w:p>
    <w:p>
      <w:pPr>
        <w:spacing w:line="360" w:lineRule="auto"/>
        <w:ind w:firstLine="480" w:firstLineChars="200"/>
        <w:rPr>
          <w:rFonts w:hint="eastAsia" w:eastAsia="仿宋_GB2312"/>
          <w:sz w:val="24"/>
        </w:rPr>
      </w:pPr>
      <w:r>
        <w:rPr>
          <w:rFonts w:eastAsia="仿宋_GB2312"/>
          <w:sz w:val="24"/>
        </w:rPr>
        <w:t>2.</w:t>
      </w:r>
      <w:r>
        <w:rPr>
          <w:rFonts w:hint="eastAsia" w:eastAsia="仿宋_GB2312"/>
          <w:sz w:val="24"/>
        </w:rPr>
        <w:t>2投标人所投项目应与其业务范围或组织宗旨相关</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2.3治理结构健全，内部管理和监督制度完善</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2.4具有独立、健全的财务管理、会计核算和资产管理制度</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2.5具备提供服务所必需的设施、人员和专业技术能力</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2.6具有依法缴纳税收和社会保障资金的良好记录</w:t>
      </w:r>
    </w:p>
    <w:p>
      <w:pPr>
        <w:spacing w:line="360" w:lineRule="auto"/>
        <w:ind w:firstLine="480" w:firstLineChars="200"/>
        <w:rPr>
          <w:rFonts w:hint="eastAsia" w:eastAsia="仿宋_GB2312"/>
          <w:sz w:val="24"/>
        </w:rPr>
      </w:pPr>
      <w:r>
        <w:rPr>
          <w:rFonts w:hint="eastAsia" w:eastAsia="仿宋_GB2312"/>
          <w:sz w:val="24"/>
          <w:lang w:val="en-US" w:eastAsia="zh-CN"/>
        </w:rPr>
        <w:t>2.7前3年无重大违法记录，通过年检，信用状况良好，未被列入经营异常名录或者严重违法企业名单。</w:t>
      </w:r>
      <w:r>
        <w:rPr>
          <w:rFonts w:hint="eastAsia" w:eastAsia="仿宋_GB2312"/>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eastAsia="仿宋_GB2312"/>
          <w:sz w:val="24"/>
        </w:rPr>
      </w:pPr>
      <w:r>
        <w:rPr>
          <w:rFonts w:hint="eastAsia" w:eastAsia="仿宋_GB2312"/>
          <w:sz w:val="24"/>
        </w:rPr>
        <w:t>有关此次招标之事宜，可按下列地址以书面或传真或电邮形式向招标代理人进行查询。</w:t>
      </w:r>
    </w:p>
    <w:p>
      <w:pPr>
        <w:spacing w:line="360" w:lineRule="auto"/>
        <w:ind w:firstLine="480" w:firstLineChars="200"/>
        <w:rPr>
          <w:rFonts w:hint="eastAsia" w:eastAsia="仿宋_GB2312"/>
          <w:sz w:val="24"/>
        </w:rPr>
      </w:pPr>
      <w:r>
        <w:rPr>
          <w:rFonts w:hint="eastAsia" w:eastAsia="仿宋_GB2312"/>
          <w:sz w:val="24"/>
        </w:rPr>
        <w:t>招标代理人：</w:t>
      </w:r>
      <w:r>
        <w:rPr>
          <w:rFonts w:hint="eastAsia" w:eastAsia="仿宋_GB2312"/>
          <w:sz w:val="24"/>
          <w:lang w:eastAsia="zh-CN"/>
        </w:rPr>
        <w:t>上海黄浦区</w:t>
      </w:r>
      <w:r>
        <w:rPr>
          <w:rFonts w:hint="eastAsia" w:eastAsia="仿宋_GB2312"/>
          <w:sz w:val="24"/>
        </w:rPr>
        <w:t>五里</w:t>
      </w:r>
      <w:r>
        <w:rPr>
          <w:rFonts w:hint="eastAsia" w:eastAsia="仿宋_GB2312"/>
          <w:color w:val="auto"/>
          <w:sz w:val="24"/>
        </w:rPr>
        <w:t>桥社区社会</w:t>
      </w:r>
      <w:r>
        <w:rPr>
          <w:rFonts w:hint="eastAsia" w:eastAsia="仿宋_GB2312"/>
          <w:sz w:val="24"/>
        </w:rPr>
        <w:t>组织服务中心</w:t>
      </w:r>
    </w:p>
    <w:p>
      <w:pPr>
        <w:spacing w:line="360" w:lineRule="auto"/>
        <w:ind w:firstLine="480" w:firstLineChars="200"/>
        <w:rPr>
          <w:rFonts w:hint="eastAsia" w:eastAsia="仿宋_GB2312"/>
          <w:sz w:val="24"/>
          <w:lang w:val="en-US" w:eastAsia="zh-CN"/>
        </w:rPr>
      </w:pPr>
      <w:r>
        <w:rPr>
          <w:rFonts w:hint="eastAsia" w:eastAsia="仿宋_GB2312"/>
          <w:sz w:val="24"/>
        </w:rPr>
        <w:t>地址：瞿溪路75</w:t>
      </w:r>
      <w:r>
        <w:rPr>
          <w:rFonts w:hint="eastAsia" w:eastAsia="仿宋_GB2312"/>
          <w:sz w:val="24"/>
          <w:lang w:val="en-US" w:eastAsia="zh-CN"/>
        </w:rPr>
        <w:t>6号102室</w:t>
      </w:r>
    </w:p>
    <w:p>
      <w:pPr>
        <w:spacing w:line="360" w:lineRule="auto"/>
        <w:ind w:firstLine="480" w:firstLineChars="200"/>
        <w:rPr>
          <w:rFonts w:hint="eastAsia" w:eastAsia="仿宋_GB2312"/>
          <w:sz w:val="24"/>
          <w:lang w:val="en-US" w:eastAsia="zh-CN"/>
        </w:rPr>
      </w:pPr>
      <w:r>
        <w:rPr>
          <w:rFonts w:hint="eastAsia" w:eastAsia="仿宋_GB2312"/>
          <w:sz w:val="24"/>
        </w:rPr>
        <w:t>电话</w:t>
      </w:r>
      <w:bookmarkStart w:id="2" w:name="中心联系电话1"/>
      <w:bookmarkEnd w:id="2"/>
      <w:r>
        <w:rPr>
          <w:rFonts w:hint="eastAsia" w:eastAsia="仿宋_GB2312"/>
          <w:sz w:val="24"/>
        </w:rPr>
        <w:t>：63025512-3</w:t>
      </w:r>
      <w:r>
        <w:rPr>
          <w:rFonts w:hint="eastAsia" w:eastAsia="仿宋_GB2312"/>
          <w:sz w:val="24"/>
          <w:lang w:val="en-US" w:eastAsia="zh-CN"/>
        </w:rPr>
        <w:t>102</w:t>
      </w:r>
    </w:p>
    <w:p>
      <w:pPr>
        <w:numPr>
          <w:ilvl w:val="0"/>
          <w:numId w:val="1"/>
        </w:numPr>
        <w:spacing w:line="360" w:lineRule="auto"/>
        <w:ind w:firstLine="480" w:firstLineChars="200"/>
        <w:rPr>
          <w:rFonts w:hint="eastAsia" w:eastAsia="仿宋_GB2312"/>
          <w:sz w:val="24"/>
        </w:rPr>
      </w:pPr>
      <w:r>
        <w:rPr>
          <w:rFonts w:eastAsia="仿宋_GB2312"/>
          <w:sz w:val="24"/>
        </w:rPr>
        <w:t>Mail</w:t>
      </w:r>
      <w:r>
        <w:rPr>
          <w:rFonts w:hint="eastAsia" w:eastAsia="仿宋_GB2312"/>
          <w:sz w:val="24"/>
        </w:rPr>
        <w:t>：</w:t>
      </w:r>
      <w:r>
        <w:rPr>
          <w:rFonts w:hint="eastAsia" w:eastAsia="仿宋_GB2312"/>
          <w:sz w:val="24"/>
        </w:rPr>
        <w:fldChar w:fldCharType="begin"/>
      </w:r>
      <w:r>
        <w:rPr>
          <w:rFonts w:hint="eastAsia" w:eastAsia="仿宋_GB2312"/>
          <w:sz w:val="24"/>
        </w:rPr>
        <w:instrText xml:space="preserve"> HYPERLINK "mailto:ygsx20140901@126.com" </w:instrText>
      </w:r>
      <w:r>
        <w:rPr>
          <w:rFonts w:hint="eastAsia" w:eastAsia="仿宋_GB2312"/>
          <w:sz w:val="24"/>
        </w:rPr>
        <w:fldChar w:fldCharType="separate"/>
      </w:r>
      <w:r>
        <w:rPr>
          <w:rStyle w:val="8"/>
          <w:rFonts w:hint="eastAsia" w:eastAsia="仿宋_GB2312"/>
          <w:sz w:val="24"/>
        </w:rPr>
        <w:t>ygsx20140901@126.com</w:t>
      </w:r>
      <w:r>
        <w:rPr>
          <w:rFonts w:hint="eastAsia" w:eastAsia="仿宋_GB2312"/>
          <w:sz w:val="24"/>
        </w:rPr>
        <w:fldChar w:fldCharType="end"/>
      </w:r>
    </w:p>
    <w:p>
      <w:pPr>
        <w:numPr>
          <w:ilvl w:val="0"/>
          <w:numId w:val="0"/>
        </w:numPr>
        <w:spacing w:line="360" w:lineRule="auto"/>
        <w:rPr>
          <w:rFonts w:hint="eastAsia" w:eastAsia="仿宋_GB2312"/>
          <w:sz w:val="24"/>
        </w:rPr>
      </w:pPr>
    </w:p>
    <w:p>
      <w:pPr>
        <w:jc w:val="center"/>
        <w:rPr>
          <w:rFonts w:ascii="华文中宋" w:hAnsi="华文中宋" w:eastAsia="华文中宋"/>
          <w:b w:val="0"/>
          <w:bCs/>
          <w:sz w:val="32"/>
        </w:rPr>
      </w:pPr>
      <w:r>
        <w:rPr>
          <w:rFonts w:hint="eastAsia" w:ascii="华文中宋" w:hAnsi="华文中宋" w:eastAsia="华文中宋"/>
          <w:b w:val="0"/>
          <w:bCs/>
          <w:sz w:val="32"/>
        </w:rPr>
        <w:t>第二章  评分指标说明</w:t>
      </w:r>
    </w:p>
    <w:p>
      <w:pPr>
        <w:jc w:val="center"/>
        <w:rPr>
          <w:b/>
        </w:rPr>
      </w:pPr>
    </w:p>
    <w:p>
      <w:pPr>
        <w:adjustRightInd w:val="0"/>
        <w:snapToGrid w:val="0"/>
        <w:spacing w:line="360" w:lineRule="auto"/>
        <w:ind w:firstLine="570"/>
        <w:rPr>
          <w:rFonts w:eastAsia="仿宋_GB2312"/>
          <w:sz w:val="24"/>
        </w:rPr>
      </w:pPr>
      <w:r>
        <w:rPr>
          <w:rFonts w:hint="eastAsia" w:eastAsia="仿宋_GB2312"/>
          <w:sz w:val="24"/>
        </w:rPr>
        <w:t>评分方法和评分指标：公益招投标的评分方法采用百分制计分法</w:t>
      </w:r>
      <w:r>
        <w:rPr>
          <w:rFonts w:hint="eastAsia" w:ascii="仿宋_GB2312" w:hAnsi="仿宋" w:eastAsia="仿宋_GB2312"/>
          <w:sz w:val="28"/>
        </w:rPr>
        <w:t>，</w:t>
      </w:r>
      <w:r>
        <w:rPr>
          <w:rFonts w:hint="eastAsia" w:eastAsia="仿宋_GB2312"/>
          <w:sz w:val="24"/>
        </w:rPr>
        <w:t>在最大限度地满足招标文件实质性要求前提下，按照招标文件中规定的各项指标进行综合评审后，以评标总得分高低进行排名。其中，“一、书面初审；二、组织能力；三、实施方案；四、管理方案”总分值为</w:t>
      </w:r>
      <w:r>
        <w:rPr>
          <w:rFonts w:eastAsia="仿宋_GB2312"/>
          <w:sz w:val="24"/>
        </w:rPr>
        <w:t>90</w:t>
      </w:r>
      <w:r>
        <w:rPr>
          <w:rFonts w:hint="eastAsia" w:eastAsia="仿宋_GB2312"/>
          <w:sz w:val="24"/>
        </w:rPr>
        <w:t>分，由评标委员会成员以记名方式独立打分，以每一评委所给分数的简单算术平均数作为投标人该指标的实际得分；“五、投标报价”分值为</w:t>
      </w:r>
      <w:r>
        <w:rPr>
          <w:rFonts w:eastAsia="仿宋_GB2312"/>
          <w:sz w:val="24"/>
        </w:rPr>
        <w:t>10</w:t>
      </w:r>
      <w:r>
        <w:rPr>
          <w:rFonts w:hint="eastAsia" w:eastAsia="仿宋_GB2312"/>
          <w:sz w:val="24"/>
        </w:rPr>
        <w:t>分，由招标代理方工作人员根据规定直接计分，并在评审结束后报请评标委员会审核确认。最终得分即为：评标总得分＝评标委员会打分</w:t>
      </w:r>
      <w:r>
        <w:rPr>
          <w:rFonts w:eastAsia="仿宋_GB2312"/>
          <w:sz w:val="24"/>
        </w:rPr>
        <w:t>+</w:t>
      </w:r>
      <w:r>
        <w:rPr>
          <w:rFonts w:hint="eastAsia" w:eastAsia="仿宋_GB2312"/>
          <w:sz w:val="24"/>
        </w:rPr>
        <w:t>投标报价分。</w:t>
      </w:r>
    </w:p>
    <w:p>
      <w:pPr>
        <w:adjustRightInd w:val="0"/>
        <w:snapToGrid w:val="0"/>
        <w:spacing w:line="360" w:lineRule="auto"/>
        <w:rPr>
          <w:rFonts w:eastAsia="仿宋_GB2312"/>
          <w:sz w:val="24"/>
        </w:rPr>
      </w:pPr>
      <w:r>
        <w:rPr>
          <w:rFonts w:eastAsia="仿宋_GB2312"/>
          <w:sz w:val="24"/>
        </w:rPr>
        <w:t xml:space="preserve">    </w:t>
      </w:r>
      <w:r>
        <w:rPr>
          <w:rFonts w:hint="eastAsia" w:eastAsia="仿宋_GB2312"/>
          <w:sz w:val="24"/>
        </w:rPr>
        <w:t>基准价为所有有效投标报价的算术平均值；投标报价为投标人向招标人提交的正式报价，《开标一览表》、《投标函》与《项目预算表》报价不一致时，以《开标一览表》中的投标报价为准。</w:t>
      </w:r>
    </w:p>
    <w:p>
      <w:pPr>
        <w:pStyle w:val="3"/>
        <w:spacing w:line="360" w:lineRule="auto"/>
        <w:ind w:firstLine="480" w:firstLineChars="200"/>
        <w:rPr>
          <w:rFonts w:hint="default" w:ascii="Times New Roman" w:eastAsia="仿宋_GB2312"/>
          <w:color w:val="0000FF"/>
          <w:sz w:val="24"/>
        </w:rPr>
      </w:pPr>
      <w:r>
        <w:rPr>
          <w:rFonts w:ascii="Times New Roman" w:eastAsia="仿宋_GB2312"/>
          <w:sz w:val="24"/>
        </w:rPr>
        <w:t>评分指标包括以下几方面，以供参照。</w:t>
      </w:r>
    </w:p>
    <w:tbl>
      <w:tblPr>
        <w:tblStyle w:val="9"/>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*《开标一览表》中的投标报价高于项目最高限价</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*投标文件章节严重缺失不完整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*相关资格证明文件不能提供或不具备投标资格</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*投标方案未实质性响应招标文件“服务要求”</w:t>
            </w:r>
          </w:p>
          <w:p>
            <w:pPr>
              <w:adjustRightInd w:val="0"/>
              <w:snapToGrid w:val="0"/>
              <w:spacing w:line="360" w:lineRule="auto"/>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一、</w:t>
            </w:r>
          </w:p>
          <w:p>
            <w:pPr>
              <w:adjustRightInd w:val="0"/>
              <w:snapToGrid w:val="0"/>
              <w:spacing w:line="360" w:lineRule="auto"/>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1、准确性和完整性</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*投标人名称前后不一致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*投标报价前后不一致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*《投标函》和《开标一览表》应填部分填写错误或缺失</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*未按要求签字盖章</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*预算明细总和与总价不一致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*实施方案细目应附预算缺失或与《项目预算表》不一致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adjustRightInd w:val="0"/>
              <w:snapToGrid w:val="0"/>
              <w:spacing w:line="360" w:lineRule="auto"/>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二、</w:t>
            </w:r>
          </w:p>
          <w:p>
            <w:pPr>
              <w:adjustRightInd w:val="0"/>
              <w:snapToGrid w:val="0"/>
              <w:spacing w:line="360" w:lineRule="auto"/>
              <w:jc w:val="center"/>
              <w:rPr>
                <w:rFonts w:hint="eastAsia"/>
                <w:b/>
                <w:sz w:val="24"/>
              </w:rPr>
            </w:pPr>
            <w:r>
              <w:rPr>
                <w:rFonts w:hint="eastAsia" w:ascii="宋体" w:hAnsi="宋体"/>
                <w:b/>
                <w:sz w:val="24"/>
              </w:rPr>
              <w:t>组织能力</w:t>
            </w:r>
          </w:p>
          <w:p>
            <w:pPr>
              <w:adjustRightInd w:val="0"/>
              <w:snapToGrid w:val="0"/>
              <w:spacing w:line="360" w:lineRule="auto"/>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2、组织资质</w:t>
            </w:r>
          </w:p>
          <w:p>
            <w:pPr>
              <w:adjustRightInd w:val="0"/>
              <w:snapToGrid w:val="0"/>
              <w:spacing w:line="360" w:lineRule="auto"/>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3、专业优势</w:t>
            </w:r>
          </w:p>
          <w:p>
            <w:pPr>
              <w:adjustRightInd w:val="0"/>
              <w:snapToGrid w:val="0"/>
              <w:spacing w:line="360" w:lineRule="auto"/>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4、项目经验</w:t>
            </w:r>
          </w:p>
          <w:p>
            <w:pPr>
              <w:adjustRightInd w:val="0"/>
              <w:snapToGrid w:val="0"/>
              <w:spacing w:line="360" w:lineRule="auto"/>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三、</w:t>
            </w:r>
          </w:p>
          <w:p>
            <w:pPr>
              <w:adjustRightInd w:val="0"/>
              <w:snapToGrid w:val="0"/>
              <w:spacing w:line="360" w:lineRule="auto"/>
              <w:jc w:val="center"/>
              <w:rPr>
                <w:rFonts w:hint="eastAsia"/>
                <w:b/>
                <w:sz w:val="24"/>
              </w:rPr>
            </w:pPr>
            <w:r>
              <w:rPr>
                <w:rFonts w:hint="eastAsia" w:ascii="宋体" w:hAnsi="宋体"/>
                <w:b/>
                <w:sz w:val="24"/>
              </w:rPr>
              <w:t>实施方案</w:t>
            </w:r>
          </w:p>
          <w:p>
            <w:pPr>
              <w:adjustRightInd w:val="0"/>
              <w:snapToGrid w:val="0"/>
              <w:spacing w:line="360" w:lineRule="auto"/>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实施计划子项目（活动）描述</w:t>
            </w:r>
          </w:p>
          <w:p>
            <w:pPr>
              <w:adjustRightInd w:val="0"/>
              <w:snapToGrid w:val="0"/>
              <w:spacing w:line="360" w:lineRule="auto"/>
              <w:jc w:val="center"/>
              <w:rPr>
                <w:rFonts w:hint="eastAsia"/>
                <w:b/>
                <w:sz w:val="24"/>
              </w:rPr>
            </w:pPr>
          </w:p>
          <w:p>
            <w:pPr>
              <w:adjustRightInd w:val="0"/>
              <w:snapToGrid w:val="0"/>
              <w:spacing w:line="360" w:lineRule="auto"/>
              <w:jc w:val="center"/>
              <w:rPr>
                <w:rFonts w:hint="eastAsia"/>
                <w:b/>
                <w:sz w:val="24"/>
              </w:rPr>
            </w:pPr>
            <w:r>
              <w:rPr>
                <w:rFonts w:hint="eastAsia" w:ascii="宋体" w:hAnsi="宋体"/>
                <w:b/>
                <w:sz w:val="24"/>
              </w:rPr>
              <w:t>（24）</w:t>
            </w:r>
          </w:p>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5、实施内容</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b/>
                <w:sz w:val="24"/>
              </w:rPr>
            </w:pPr>
            <w:r>
              <w:rPr>
                <w:rFonts w:hint="eastAsia" w:ascii="宋体" w:hAnsi="宋体"/>
                <w:b/>
                <w:sz w:val="24"/>
              </w:rPr>
              <w:t>6、基本要素</w:t>
            </w:r>
          </w:p>
          <w:p>
            <w:pPr>
              <w:adjustRightInd w:val="0"/>
              <w:snapToGrid w:val="0"/>
              <w:spacing w:line="360" w:lineRule="auto"/>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numPr>
                <w:ilvl w:val="0"/>
                <w:numId w:val="2"/>
              </w:numPr>
              <w:adjustRightInd w:val="0"/>
              <w:snapToGrid w:val="0"/>
              <w:spacing w:line="360" w:lineRule="auto"/>
              <w:jc w:val="center"/>
              <w:rPr>
                <w:rFonts w:hint="eastAsia"/>
                <w:b/>
                <w:sz w:val="24"/>
              </w:rPr>
            </w:pPr>
            <w:r>
              <w:rPr>
                <w:rFonts w:hint="eastAsia" w:ascii="宋体" w:hAnsi="宋体"/>
                <w:b/>
                <w:sz w:val="24"/>
              </w:rPr>
              <w:t>受益人群与人数</w:t>
            </w:r>
          </w:p>
          <w:p>
            <w:pPr>
              <w:adjustRightInd w:val="0"/>
              <w:snapToGrid w:val="0"/>
              <w:spacing w:line="360" w:lineRule="auto"/>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9、人员配置</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10、资源配置</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11、预算编制</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3"/>
              </w:numPr>
              <w:adjustRightInd w:val="0"/>
              <w:snapToGrid w:val="0"/>
              <w:spacing w:line="360" w:lineRule="auto"/>
              <w:jc w:val="center"/>
              <w:rPr>
                <w:rFonts w:hint="eastAsia"/>
                <w:b/>
                <w:sz w:val="24"/>
              </w:rPr>
            </w:pPr>
            <w:r>
              <w:rPr>
                <w:rFonts w:hint="eastAsia" w:ascii="宋体" w:hAnsi="宋体"/>
                <w:b/>
                <w:sz w:val="24"/>
              </w:rPr>
              <w:t>设计合理性</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3"/>
              </w:numPr>
              <w:adjustRightInd w:val="0"/>
              <w:snapToGrid w:val="0"/>
              <w:spacing w:line="360" w:lineRule="auto"/>
              <w:jc w:val="center"/>
              <w:rPr>
                <w:rFonts w:hint="eastAsia"/>
                <w:b/>
                <w:sz w:val="24"/>
              </w:rPr>
            </w:pPr>
            <w:r>
              <w:rPr>
                <w:rFonts w:hint="eastAsia" w:ascii="宋体" w:hAnsi="宋体"/>
                <w:b/>
                <w:sz w:val="24"/>
              </w:rPr>
              <w:t>操作可行性</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14、评估指标</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4"/>
              </w:numPr>
              <w:adjustRightInd w:val="0"/>
              <w:snapToGrid w:val="0"/>
              <w:spacing w:line="360" w:lineRule="auto"/>
              <w:jc w:val="center"/>
              <w:rPr>
                <w:rFonts w:hint="eastAsia"/>
                <w:b/>
                <w:sz w:val="24"/>
              </w:rPr>
            </w:pPr>
            <w:r>
              <w:rPr>
                <w:rFonts w:hint="eastAsia" w:ascii="宋体" w:hAnsi="宋体"/>
                <w:b/>
                <w:sz w:val="24"/>
              </w:rPr>
              <w:t>可持续性</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四、</w:t>
            </w:r>
          </w:p>
          <w:p>
            <w:pPr>
              <w:adjustRightInd w:val="0"/>
              <w:snapToGrid w:val="0"/>
              <w:spacing w:line="360" w:lineRule="auto"/>
              <w:jc w:val="center"/>
              <w:rPr>
                <w:rFonts w:hint="eastAsia"/>
                <w:b/>
                <w:sz w:val="24"/>
              </w:rPr>
            </w:pPr>
            <w:r>
              <w:rPr>
                <w:rFonts w:hint="eastAsia" w:ascii="宋体" w:hAnsi="宋体"/>
                <w:b/>
                <w:sz w:val="24"/>
              </w:rPr>
              <w:t>管理方案</w:t>
            </w:r>
          </w:p>
          <w:p>
            <w:pPr>
              <w:adjustRightInd w:val="0"/>
              <w:snapToGrid w:val="0"/>
              <w:spacing w:line="360" w:lineRule="auto"/>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16、项目组人员管理</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质量管理</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档案管理</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公关管理</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20、风险管理</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auto"/>
              <w:jc w:val="center"/>
              <w:textAlignment w:val="baseline"/>
              <w:rPr>
                <w:rFonts w:ascii="仿宋" w:hAnsi="仿宋" w:eastAsia="仿宋"/>
                <w:b/>
                <w:sz w:val="24"/>
              </w:rPr>
            </w:pPr>
            <w:r>
              <w:rPr>
                <w:rFonts w:hint="eastAsia" w:ascii="仿宋" w:hAnsi="仿宋" w:eastAsia="仿宋"/>
                <w:b/>
                <w:sz w:val="24"/>
              </w:rPr>
              <w:t>五、</w:t>
            </w:r>
          </w:p>
          <w:p>
            <w:pPr>
              <w:snapToGrid w:val="0"/>
              <w:spacing w:line="360" w:lineRule="auto"/>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pStyle w:val="3"/>
        <w:spacing w:line="360" w:lineRule="auto"/>
        <w:ind w:firstLine="0"/>
        <w:rPr>
          <w:rFonts w:hint="default" w:ascii="Times New Roman" w:eastAsia="仿宋_GB2312"/>
          <w:sz w:val="24"/>
        </w:rPr>
      </w:pPr>
      <w:r>
        <w:rPr>
          <w:rFonts w:hint="default" w:ascii="Times New Roman" w:eastAsia="仿宋_GB2312"/>
          <w:sz w:val="24"/>
        </w:rPr>
        <w:t xml:space="preserve">    </w:t>
      </w:r>
      <w:r>
        <w:rPr>
          <w:rFonts w:ascii="Times New Roman" w:eastAsia="仿宋_GB2312"/>
          <w:sz w:val="24"/>
        </w:rPr>
        <w:t>投标人排名方法：在用百分制计分法计算出各投标文件的最终得分后，评审委员按投标文件得分高低顺序排出名次，排名第一且得分不低于</w:t>
      </w:r>
      <w:r>
        <w:rPr>
          <w:rFonts w:hint="default" w:ascii="Times New Roman" w:eastAsia="仿宋_GB2312"/>
          <w:sz w:val="24"/>
        </w:rPr>
        <w:t>60</w:t>
      </w:r>
      <w:r>
        <w:rPr>
          <w:rFonts w:ascii="Times New Roman" w:eastAsia="仿宋_GB2312"/>
          <w:sz w:val="24"/>
        </w:rPr>
        <w:t>分的投标人为中标候选人。如果有</w:t>
      </w:r>
      <w:r>
        <w:rPr>
          <w:rFonts w:hint="default" w:ascii="Times New Roman" w:eastAsia="仿宋_GB2312"/>
          <w:sz w:val="24"/>
        </w:rPr>
        <w:t>2</w:t>
      </w:r>
      <w:r>
        <w:rPr>
          <w:rFonts w:ascii="Times New Roman" w:eastAsia="仿宋_GB2312"/>
          <w:sz w:val="24"/>
        </w:rPr>
        <w:t>位或</w:t>
      </w:r>
      <w:r>
        <w:rPr>
          <w:rFonts w:hint="default" w:ascii="Times New Roman" w:eastAsia="仿宋_GB2312"/>
          <w:sz w:val="24"/>
        </w:rPr>
        <w:t>2</w:t>
      </w:r>
      <w:r>
        <w:rPr>
          <w:rFonts w:ascii="Times New Roman" w:eastAsia="仿宋_GB2312"/>
          <w:sz w:val="24"/>
        </w:rPr>
        <w:t>位以上的投标文件分数相同，则投标报价低者居前；如果报价仍然相同，则由评审委员会无记名投票确定相同者的排名。</w:t>
      </w:r>
    </w:p>
    <w:p>
      <w:pPr>
        <w:pStyle w:val="3"/>
        <w:spacing w:line="360" w:lineRule="auto"/>
        <w:ind w:firstLine="0"/>
        <w:rPr>
          <w:rFonts w:hint="default" w:ascii="Times New Roman" w:eastAsia="仿宋_GB2312"/>
          <w:sz w:val="24"/>
        </w:rPr>
      </w:pPr>
      <w:r>
        <w:rPr>
          <w:rFonts w:hint="default" w:ascii="Times New Roman" w:eastAsia="仿宋_GB2312"/>
          <w:sz w:val="24"/>
        </w:rPr>
        <w:t xml:space="preserve">    </w:t>
      </w:r>
      <w:r>
        <w:rPr>
          <w:rFonts w:ascii="Times New Roman" w:eastAsia="仿宋_GB2312"/>
          <w:sz w:val="24"/>
        </w:rPr>
        <w:t>中标候选人推荐要求：投标文件的最终得分最高且不低于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pStyle w:val="3"/>
        <w:spacing w:line="360" w:lineRule="auto"/>
        <w:ind w:firstLine="480" w:firstLineChars="200"/>
        <w:rPr>
          <w:rFonts w:hint="default" w:ascii="Times New Roman" w:eastAsia="仿宋_GB2312"/>
          <w:sz w:val="24"/>
        </w:rPr>
      </w:pPr>
      <w:r>
        <w:rPr>
          <w:rFonts w:ascii="Times New Roman" w:eastAsia="仿宋_GB2312"/>
          <w:sz w:val="24"/>
        </w:rPr>
        <w:t>实施进度：符合招标文件要求。</w:t>
      </w:r>
    </w:p>
    <w:p>
      <w:pPr>
        <w:pStyle w:val="3"/>
        <w:spacing w:line="360" w:lineRule="auto"/>
        <w:ind w:firstLine="480" w:firstLineChars="200"/>
        <w:rPr>
          <w:rFonts w:ascii="Times New Roman" w:eastAsia="仿宋_GB2312"/>
          <w:sz w:val="24"/>
        </w:rPr>
      </w:pPr>
      <w:r>
        <w:rPr>
          <w:rFonts w:ascii="Times New Roman" w:eastAsia="仿宋_GB2312"/>
          <w:sz w:val="24"/>
        </w:rPr>
        <w:t>招标文件的澄清：任何要求对招标文件进行澄清的投标人，均应在投标截止期3日以前，按“第一章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pStyle w:val="3"/>
        <w:spacing w:line="360" w:lineRule="auto"/>
        <w:ind w:firstLine="480" w:firstLineChars="200"/>
        <w:rPr>
          <w:rFonts w:hint="eastAsia" w:eastAsia="仿宋_GB2312"/>
          <w:sz w:val="24"/>
        </w:rPr>
      </w:pPr>
      <w:r>
        <w:rPr>
          <w:rFonts w:ascii="Times New Roman" w:eastAsia="仿宋_GB2312"/>
          <w:sz w:val="24"/>
        </w:rPr>
        <w:t>招标文件的修改：</w:t>
      </w:r>
      <w:r>
        <w:rPr>
          <w:rFonts w:hint="eastAsia" w:eastAsia="仿宋_GB2312"/>
          <w:sz w:val="24"/>
        </w:rPr>
        <w:t>在投标截止期前的任何时候，无论出于何种原因，招标代理人可主动或在解答投标人提出的澄清问题时对招标文件进行修改。</w:t>
      </w:r>
    </w:p>
    <w:p>
      <w:pPr>
        <w:spacing w:line="360" w:lineRule="auto"/>
        <w:rPr>
          <w:rFonts w:hint="eastAsia" w:eastAsia="仿宋_GB2312"/>
          <w:sz w:val="24"/>
        </w:rPr>
      </w:pPr>
    </w:p>
    <w:p>
      <w:pPr>
        <w:spacing w:line="360" w:lineRule="auto"/>
        <w:rPr>
          <w:rFonts w:hint="eastAsia" w:eastAsia="仿宋_GB2312"/>
          <w:sz w:val="24"/>
        </w:rPr>
      </w:pPr>
    </w:p>
    <w:p>
      <w:pPr>
        <w:spacing w:line="360" w:lineRule="auto"/>
        <w:rPr>
          <w:rFonts w:hint="eastAsia" w:eastAsia="仿宋_GB2312"/>
          <w:sz w:val="24"/>
        </w:rPr>
      </w:pPr>
    </w:p>
    <w:p>
      <w:pPr>
        <w:spacing w:line="360" w:lineRule="auto"/>
        <w:rPr>
          <w:rFonts w:hint="eastAsia" w:eastAsia="仿宋_GB2312"/>
          <w:sz w:val="24"/>
        </w:rPr>
      </w:pPr>
    </w:p>
    <w:p>
      <w:pPr>
        <w:jc w:val="center"/>
        <w:rPr>
          <w:rFonts w:hint="eastAsia" w:ascii="华文中宋" w:hAnsi="华文中宋" w:eastAsia="华文中宋" w:cs="华文中宋"/>
          <w:b w:val="0"/>
          <w:bCs w:val="0"/>
          <w:sz w:val="30"/>
          <w:szCs w:val="30"/>
        </w:rPr>
      </w:pPr>
      <w:r>
        <w:rPr>
          <w:rFonts w:hint="eastAsia" w:ascii="华文中宋" w:hAnsi="华文中宋" w:eastAsia="华文中宋" w:cs="华文中宋"/>
          <w:b w:val="0"/>
          <w:bCs w:val="0"/>
          <w:sz w:val="30"/>
          <w:szCs w:val="30"/>
        </w:rPr>
        <w:t>第三章 项目需求书</w:t>
      </w:r>
    </w:p>
    <w:p>
      <w:pPr>
        <w:numPr>
          <w:ilvl w:val="0"/>
          <w:numId w:val="6"/>
        </w:num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项目背景</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社区背景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w:t>
      </w:r>
      <w:r>
        <w:rPr>
          <w:rFonts w:hint="eastAsia" w:ascii="仿宋" w:hAnsi="仿宋" w:eastAsia="仿宋" w:cs="仿宋"/>
          <w:color w:val="auto"/>
          <w:sz w:val="24"/>
          <w:szCs w:val="24"/>
        </w:rPr>
        <w:t>人口6.6万余人，实有人口8.1万余人，19</w:t>
      </w:r>
      <w:r>
        <w:rPr>
          <w:rFonts w:hint="eastAsia" w:ascii="仿宋" w:hAnsi="仿宋" w:eastAsia="仿宋" w:cs="仿宋"/>
          <w:sz w:val="24"/>
          <w:szCs w:val="24"/>
        </w:rPr>
        <w:t>个居委会，1100余个居民小组。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（二）服务对象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sz w:val="24"/>
        </w:rPr>
      </w:pPr>
      <w:r>
        <w:rPr>
          <w:rFonts w:hint="eastAsia" w:ascii="仿宋" w:hAnsi="仿宋" w:eastAsia="仿宋"/>
          <w:sz w:val="24"/>
          <w:lang w:val="en-US" w:eastAsia="zh-CN"/>
        </w:rPr>
        <w:t>五里桥党员、</w:t>
      </w:r>
      <w:r>
        <w:rPr>
          <w:rFonts w:hint="eastAsia" w:ascii="仿宋" w:hAnsi="仿宋" w:eastAsia="仿宋"/>
          <w:sz w:val="24"/>
        </w:rPr>
        <w:t>社区居民</w:t>
      </w:r>
    </w:p>
    <w:p>
      <w:pPr>
        <w:numPr>
          <w:ilvl w:val="0"/>
          <w:numId w:val="6"/>
        </w:num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项目标的</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服务内容及服务频次要求</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志愿者团队培育建设</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1.1</w:t>
      </w:r>
      <w:r>
        <w:rPr>
          <w:rFonts w:hint="eastAsia" w:ascii="仿宋" w:hAnsi="仿宋" w:eastAsia="仿宋" w:cs="仿宋"/>
          <w:sz w:val="24"/>
          <w:szCs w:val="24"/>
        </w:rPr>
        <w:t>调整滨江党群服务站管理运作相关制度，做好站点值班安排</w:t>
      </w:r>
      <w:r>
        <w:rPr>
          <w:rFonts w:hint="eastAsia" w:ascii="仿宋" w:hAnsi="仿宋" w:eastAsia="仿宋" w:cs="仿宋"/>
          <w:sz w:val="24"/>
          <w:szCs w:val="24"/>
          <w:lang w:eastAsia="zh-CN"/>
        </w:rPr>
        <w:t>；</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1.2</w:t>
      </w:r>
      <w:r>
        <w:rPr>
          <w:rFonts w:hint="eastAsia" w:ascii="仿宋" w:hAnsi="仿宋" w:eastAsia="仿宋" w:cs="仿宋"/>
          <w:sz w:val="24"/>
          <w:szCs w:val="24"/>
        </w:rPr>
        <w:t>做好站点志愿者的管理、招募、培育培训工作</w:t>
      </w:r>
      <w:r>
        <w:rPr>
          <w:rFonts w:hint="eastAsia" w:ascii="仿宋" w:hAnsi="仿宋" w:eastAsia="仿宋" w:cs="仿宋"/>
          <w:sz w:val="24"/>
          <w:szCs w:val="24"/>
          <w:lang w:eastAsia="zh-CN"/>
        </w:rPr>
        <w:t>；</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lang w:val="en-US" w:eastAsia="zh-CN"/>
        </w:rPr>
        <w:t>1.3</w:t>
      </w:r>
      <w:r>
        <w:rPr>
          <w:rFonts w:hint="eastAsia" w:ascii="仿宋" w:hAnsi="仿宋" w:eastAsia="仿宋" w:cs="仿宋"/>
          <w:sz w:val="24"/>
          <w:szCs w:val="24"/>
        </w:rPr>
        <w:t>站点运作台账记录并按时上报街道、区有关部</w:t>
      </w:r>
      <w:bookmarkStart w:id="3" w:name="_GoBack"/>
      <w:bookmarkEnd w:id="3"/>
      <w:r>
        <w:rPr>
          <w:rFonts w:hint="eastAsia" w:ascii="仿宋" w:hAnsi="仿宋" w:eastAsia="仿宋" w:cs="仿宋"/>
          <w:sz w:val="24"/>
          <w:szCs w:val="24"/>
        </w:rPr>
        <w:t>门。</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展示活动</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1.4根据需求每周开展3次日常活动，每季度开展一次大型活动，做好活动策划安排并落实；</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1.5组织并落实日常群众性活动计划；</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1.6做好站点的特色活动项目。</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服务项目</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1.7便民服务；</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1.8做好站点的日常接待、宣传、党建、各单位对接工作等；</w:t>
      </w:r>
    </w:p>
    <w:p>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1.9开展“民族振兴、国家富强、人民幸福”为主题的“不忘初心，牢记使命”党性活动日项目。</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二</w:t>
      </w:r>
      <w:r>
        <w:rPr>
          <w:rFonts w:hint="eastAsia" w:ascii="仿宋" w:hAnsi="仿宋" w:eastAsia="仿宋" w:cs="仿宋"/>
          <w:b/>
          <w:bCs/>
          <w:sz w:val="24"/>
          <w:szCs w:val="24"/>
          <w:lang w:eastAsia="zh-CN"/>
        </w:rPr>
        <w:t>）</w:t>
      </w:r>
      <w:r>
        <w:rPr>
          <w:rFonts w:hint="eastAsia" w:ascii="仿宋" w:hAnsi="仿宋" w:eastAsia="仿宋" w:cs="仿宋"/>
          <w:b/>
          <w:bCs/>
          <w:sz w:val="24"/>
          <w:szCs w:val="24"/>
        </w:rPr>
        <w:t>组织实施和风险控制要求</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2.1 提供的项目实施方案能有序进行，能够合理安排、调整各项活动的实施，并且定期做好项目的评估与优化工作；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2.2须提出可行的项目活动的计划时间表；</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2.3须做好服务对象满意度评估，及时反馈信息，及时改进服务质量；</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2.4在项目实施过程中要考虑服务对象的身体、家庭实际情况等特点，预测可能出现的风险并确定应急方案。</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三</w:t>
      </w:r>
      <w:r>
        <w:rPr>
          <w:rFonts w:hint="eastAsia" w:ascii="仿宋" w:hAnsi="仿宋" w:eastAsia="仿宋" w:cs="仿宋"/>
          <w:b/>
          <w:bCs/>
          <w:sz w:val="24"/>
          <w:szCs w:val="24"/>
          <w:lang w:eastAsia="zh-CN"/>
        </w:rPr>
        <w:t>）</w:t>
      </w:r>
      <w:r>
        <w:rPr>
          <w:rFonts w:hint="eastAsia" w:ascii="仿宋" w:hAnsi="仿宋" w:eastAsia="仿宋" w:cs="仿宋"/>
          <w:b/>
          <w:bCs/>
          <w:sz w:val="24"/>
          <w:szCs w:val="24"/>
        </w:rPr>
        <w:t>从业经验和专业能力要求</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3.1投标组织应具备开展相关公益活动的经验；</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3.2须有经验丰富的项目支持性团队和严密的内部督导体系； </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3.3项目执行团队的组成人员中，项目执行人员不少于2人，其中项目专职负责人1人。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四</w:t>
      </w:r>
      <w:r>
        <w:rPr>
          <w:rFonts w:hint="eastAsia" w:ascii="仿宋" w:hAnsi="仿宋" w:eastAsia="仿宋" w:cs="仿宋"/>
          <w:b/>
          <w:bCs/>
          <w:sz w:val="24"/>
          <w:szCs w:val="24"/>
          <w:lang w:eastAsia="zh-CN"/>
        </w:rPr>
        <w:t>）项目监测要求</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4.1</w:t>
      </w:r>
      <w:r>
        <w:rPr>
          <w:rFonts w:hint="eastAsia" w:ascii="仿宋" w:hAnsi="仿宋" w:eastAsia="仿宋" w:cs="仿宋"/>
          <w:sz w:val="24"/>
          <w:szCs w:val="24"/>
        </w:rPr>
        <w:t>项目执行过程中投标方须接受需求方和招标代理人的监测，</w:t>
      </w:r>
      <w:r>
        <w:rPr>
          <w:rFonts w:hint="eastAsia" w:ascii="仿宋" w:hAnsi="仿宋" w:eastAsia="仿宋" w:cs="仿宋"/>
          <w:sz w:val="24"/>
          <w:szCs w:val="24"/>
          <w:lang w:val="en-US" w:eastAsia="zh-CN"/>
        </w:rPr>
        <w:t>并</w:t>
      </w:r>
      <w:r>
        <w:rPr>
          <w:rFonts w:hint="eastAsia" w:ascii="仿宋" w:hAnsi="仿宋" w:eastAsia="仿宋" w:cs="仿宋"/>
          <w:sz w:val="24"/>
          <w:szCs w:val="24"/>
        </w:rPr>
        <w:t>接受招标方的中期评估，提供项目中期报告。</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五</w:t>
      </w:r>
      <w:r>
        <w:rPr>
          <w:rFonts w:hint="eastAsia" w:ascii="仿宋" w:hAnsi="仿宋" w:eastAsia="仿宋" w:cs="仿宋"/>
          <w:b/>
          <w:bCs/>
          <w:sz w:val="24"/>
          <w:szCs w:val="24"/>
          <w:lang w:eastAsia="zh-CN"/>
        </w:rPr>
        <w:t>）项目结案要求</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5.1</w:t>
      </w:r>
      <w:r>
        <w:rPr>
          <w:rFonts w:hint="eastAsia" w:ascii="仿宋" w:hAnsi="仿宋" w:eastAsia="仿宋" w:cs="仿宋"/>
          <w:sz w:val="24"/>
          <w:szCs w:val="24"/>
        </w:rPr>
        <w:t>项目结束后投标方须向招标方提供台账、项目决算表、项目总结报告等相关数据资料，并接受招标方的终期评估。</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六</w:t>
      </w:r>
      <w:r>
        <w:rPr>
          <w:rFonts w:hint="eastAsia" w:ascii="仿宋" w:hAnsi="仿宋" w:eastAsia="仿宋" w:cs="仿宋"/>
          <w:b/>
          <w:bCs/>
          <w:sz w:val="24"/>
          <w:szCs w:val="24"/>
          <w:lang w:eastAsia="zh-CN"/>
        </w:rPr>
        <w:t>）招标人责任</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6.1</w:t>
      </w:r>
      <w:r>
        <w:rPr>
          <w:rFonts w:hint="eastAsia" w:ascii="仿宋" w:hAnsi="仿宋" w:eastAsia="仿宋" w:cs="仿宋"/>
          <w:sz w:val="24"/>
          <w:szCs w:val="24"/>
        </w:rPr>
        <w:t>协调落实活动和办公场地，及协调资源调配。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七</w:t>
      </w:r>
      <w:r>
        <w:rPr>
          <w:rFonts w:hint="eastAsia" w:ascii="仿宋" w:hAnsi="仿宋" w:eastAsia="仿宋" w:cs="仿宋"/>
          <w:b/>
          <w:bCs/>
          <w:sz w:val="24"/>
          <w:szCs w:val="24"/>
          <w:lang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7.1为保证招标的公平性，投标人认为上述指标存在排他性或歧视性条款，可以向招标代理人提出书面质疑并附相关证据。</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7.2如无特别说明，每个项目只允许有一个报价，任何有选择的报价将不予接受。</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7.3</w:t>
      </w:r>
      <w:r>
        <w:rPr>
          <w:rFonts w:hint="eastAsia" w:ascii="仿宋" w:hAnsi="仿宋" w:eastAsia="仿宋" w:cs="仿宋"/>
          <w:sz w:val="24"/>
          <w:szCs w:val="24"/>
        </w:rPr>
        <w:t>项目周期内，项目执行方需要与招标方保持联系，有重大活动提前告知招标方，并提前提交活动策划，招标方有对活动内容进行修改的权利。</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7.4</w:t>
      </w:r>
      <w:r>
        <w:rPr>
          <w:rFonts w:hint="eastAsia" w:ascii="仿宋" w:hAnsi="仿宋" w:eastAsia="仿宋" w:cs="仿宋"/>
          <w:sz w:val="24"/>
          <w:szCs w:val="24"/>
        </w:rPr>
        <w:t>在项目执行过程中，项目执行方如对项目的内容进行修改，需提前告知招标方，经双方协商同意后才能进行修改。</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53035"/>
                      </a:xfrm>
                      <a:prstGeom prst="rect">
                        <a:avLst/>
                      </a:prstGeom>
                      <a:noFill/>
                      <a:ln w="952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8240;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n&#10;qzVF0AAAAAMBAAAPAAAAAAAAAAEAIAAAACIAAABkcnMvZG93bnJldi54bWxQSwECFAAUAAAACACH&#10;TuJAA1WQ4roBAABRAwAADgAAAAAAAAABACAAAAAfAQAAZHJzL2Uyb0RvYy54bWxQSwUGAAAAAAYA&#10;BgBZAQAASwU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E01138"/>
    <w:multiLevelType w:val="singleLevel"/>
    <w:tmpl w:val="A0E01138"/>
    <w:lvl w:ilvl="0" w:tentative="0">
      <w:start w:val="5"/>
      <w:numFmt w:val="upperLetter"/>
      <w:suff w:val="nothing"/>
      <w:lvlText w:val="%1-"/>
      <w:lvlJc w:val="left"/>
    </w:lvl>
  </w:abstractNum>
  <w:abstractNum w:abstractNumId="1">
    <w:nsid w:val="ECA5E1E5"/>
    <w:multiLevelType w:val="singleLevel"/>
    <w:tmpl w:val="ECA5E1E5"/>
    <w:lvl w:ilvl="0" w:tentative="0">
      <w:start w:val="1"/>
      <w:numFmt w:val="bullet"/>
      <w:lvlText w:val=""/>
      <w:lvlJc w:val="left"/>
      <w:pPr>
        <w:ind w:left="420" w:hanging="420"/>
      </w:pPr>
      <w:rPr>
        <w:rFonts w:hint="default" w:ascii="Wingdings" w:hAnsi="Wingdings"/>
      </w:rPr>
    </w:lvl>
  </w:abstractNum>
  <w:abstractNum w:abstractNumId="2">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0D333A77"/>
    <w:multiLevelType w:val="singleLevel"/>
    <w:tmpl w:val="0D333A77"/>
    <w:lvl w:ilvl="0" w:tentative="0">
      <w:start w:val="1"/>
      <w:numFmt w:val="chineseCounting"/>
      <w:suff w:val="nothing"/>
      <w:lvlText w:val="（%1）"/>
      <w:lvlJc w:val="left"/>
      <w:rPr>
        <w:rFonts w:hint="eastAsia"/>
      </w:rPr>
    </w:lvl>
  </w:abstractNum>
  <w:abstractNum w:abstractNumId="7">
    <w:nsid w:val="5515015C"/>
    <w:multiLevelType w:val="singleLevel"/>
    <w:tmpl w:val="5515015C"/>
    <w:lvl w:ilvl="0" w:tentative="0">
      <w:start w:val="1"/>
      <w:numFmt w:val="chineseCounting"/>
      <w:suff w:val="nothing"/>
      <w:lvlText w:val="%1、"/>
      <w:lvlJc w:val="left"/>
    </w:lvl>
  </w:abstractNum>
  <w:abstractNum w:abstractNumId="8">
    <w:nsid w:val="551503D6"/>
    <w:multiLevelType w:val="singleLevel"/>
    <w:tmpl w:val="551503D6"/>
    <w:lvl w:ilvl="0" w:tentative="0">
      <w:start w:val="1"/>
      <w:numFmt w:val="chineseCounting"/>
      <w:suff w:val="nothing"/>
      <w:lvlText w:val="（%1）"/>
      <w:lvlJc w:val="left"/>
    </w:lvl>
  </w:abstractNum>
  <w:num w:numId="1">
    <w:abstractNumId w:val="0"/>
  </w:num>
  <w:num w:numId="2">
    <w:abstractNumId w:val="2"/>
  </w:num>
  <w:num w:numId="3">
    <w:abstractNumId w:val="5"/>
  </w:num>
  <w:num w:numId="4">
    <w:abstractNumId w:val="3"/>
  </w:num>
  <w:num w:numId="5">
    <w:abstractNumId w:val="4"/>
  </w:num>
  <w:num w:numId="6">
    <w:abstractNumId w:val="7"/>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D7591"/>
    <w:rsid w:val="090A430B"/>
    <w:rsid w:val="16815285"/>
    <w:rsid w:val="1CCD56F8"/>
    <w:rsid w:val="3B0D7591"/>
    <w:rsid w:val="4E48436D"/>
    <w:rsid w:val="518F6450"/>
    <w:rsid w:val="55667020"/>
    <w:rsid w:val="5B5735CB"/>
    <w:rsid w:val="6D8401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rPr>
  </w:style>
  <w:style w:type="paragraph" w:styleId="3">
    <w:name w:val="Body Text 2"/>
    <w:basedOn w:val="1"/>
    <w:unhideWhenUsed/>
    <w:qFormat/>
    <w:uiPriority w:val="99"/>
    <w:pPr>
      <w:spacing w:beforeLines="0" w:afterLines="0"/>
      <w:ind w:firstLine="570"/>
    </w:pPr>
    <w:rPr>
      <w:rFonts w:hint="eastAsia" w:ascii="宋体"/>
      <w:sz w:val="28"/>
    </w:rPr>
  </w:style>
  <w:style w:type="paragraph" w:styleId="4">
    <w:name w:val="Normal (Web)"/>
    <w:basedOn w:val="1"/>
    <w:unhideWhenUsed/>
    <w:uiPriority w:val="99"/>
    <w:pPr>
      <w:widowControl/>
      <w:spacing w:before="100" w:beforeLines="0" w:beforeAutospacing="1" w:after="100" w:afterLines="0" w:afterAutospacing="1"/>
      <w:jc w:val="left"/>
    </w:pPr>
    <w:rPr>
      <w:rFonts w:hint="eastAsia" w:ascii="宋体" w:hAnsi="宋体"/>
      <w:sz w:val="24"/>
    </w:r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7">
    <w:name w:val="Strong"/>
    <w:qFormat/>
    <w:uiPriority w:val="22"/>
    <w:rPr>
      <w:rFonts w:hint="default"/>
      <w:b/>
      <w:sz w:val="24"/>
    </w:rPr>
  </w:style>
  <w:style w:type="character" w:styleId="8">
    <w:name w:val="Hyperlink"/>
    <w:basedOn w:val="6"/>
    <w:uiPriority w:val="0"/>
    <w:rPr>
      <w:color w:val="0000FF"/>
      <w:u w:val="single"/>
    </w:rPr>
  </w:style>
  <w:style w:type="paragraph" w:customStyle="1" w:styleId="10">
    <w:name w:val="目录样式"/>
    <w:basedOn w:val="5"/>
    <w:qFormat/>
    <w:uiPriority w:val="0"/>
    <w:rPr>
      <w:rFonts w:ascii="Arial" w:hAnsi="Arial" w:eastAsia="方正小标宋简体"/>
      <w:szCs w:val="22"/>
    </w:rPr>
  </w:style>
  <w:style w:type="paragraph" w:styleId="11">
    <w:name w:val="List Paragraph"/>
    <w:basedOn w:val="1"/>
    <w:qFormat/>
    <w:uiPriority w:val="34"/>
    <w:pPr>
      <w:ind w:firstLine="420" w:firstLineChars="200"/>
    </w:pPr>
    <w:rPr>
      <w:rFonts w:ascii="Times New Roman" w:hAnsi="Times New Roman"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2019-02-20T02:59:00Z</dcterms:created>
  <dc:creator>琪琪</dc:creator>
  <cp:lastModifiedBy>琪琪</cp:lastModifiedBy>
  <dcterms:modified xsi:type="dcterms:W3CDTF">2019-02-20T08:08:37Z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