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tabs>
          <w:tab w:val="center" w:pos="4153"/>
          <w:tab w:val="left" w:pos="7410"/>
        </w:tabs>
        <w:snapToGrid w:val="0"/>
        <w:jc w:val="both"/>
        <w:rPr>
          <w:rFonts w:hint="eastAsia" w:ascii="华文中宋" w:hAnsi="华文中宋" w:eastAsia="华文中宋" w:cs="华文中宋"/>
          <w:b/>
          <w:bCs/>
          <w:sz w:val="36"/>
          <w:szCs w:val="36"/>
        </w:rPr>
      </w:pPr>
    </w:p>
    <w:p>
      <w:pPr>
        <w:pStyle w:val="5"/>
        <w:widowControl w:val="0"/>
        <w:tabs>
          <w:tab w:val="center" w:pos="4153"/>
          <w:tab w:val="left" w:pos="7410"/>
        </w:tabs>
        <w:snapToGrid w:val="0"/>
        <w:spacing w:before="0" w:beforeAutospacing="0" w:after="0" w:afterAutospacing="0"/>
        <w:jc w:val="center"/>
        <w:rPr>
          <w:rFonts w:hint="eastAsia" w:ascii="华文中宋" w:hAnsi="华文中宋" w:eastAsia="华文中宋" w:cs="华文中宋"/>
          <w:b w:val="0"/>
          <w:bCs w:val="0"/>
          <w:sz w:val="32"/>
          <w:szCs w:val="32"/>
        </w:rPr>
      </w:pPr>
      <w:r>
        <w:rPr>
          <w:rFonts w:hint="eastAsia" w:ascii="华文中宋" w:hAnsi="华文中宋" w:eastAsia="华文中宋" w:cs="华文中宋"/>
          <w:b w:val="0"/>
          <w:bCs w:val="0"/>
          <w:sz w:val="32"/>
          <w:szCs w:val="32"/>
        </w:rPr>
        <w:t>201</w:t>
      </w:r>
      <w:r>
        <w:rPr>
          <w:rFonts w:hint="eastAsia" w:ascii="华文中宋" w:hAnsi="华文中宋" w:eastAsia="华文中宋" w:cs="华文中宋"/>
          <w:b w:val="0"/>
          <w:bCs w:val="0"/>
          <w:sz w:val="32"/>
          <w:szCs w:val="32"/>
          <w:lang w:val="en-US" w:eastAsia="zh-CN"/>
        </w:rPr>
        <w:t>9</w:t>
      </w:r>
      <w:r>
        <w:rPr>
          <w:rFonts w:hint="eastAsia" w:ascii="华文中宋" w:hAnsi="华文中宋" w:eastAsia="华文中宋" w:cs="华文中宋"/>
          <w:b w:val="0"/>
          <w:bCs w:val="0"/>
          <w:sz w:val="32"/>
          <w:szCs w:val="32"/>
        </w:rPr>
        <w:t>年度五里桥</w:t>
      </w:r>
      <w:r>
        <w:rPr>
          <w:rFonts w:hint="eastAsia" w:ascii="华文中宋" w:hAnsi="华文中宋" w:eastAsia="华文中宋" w:cs="华文中宋"/>
          <w:b w:val="0"/>
          <w:bCs w:val="0"/>
          <w:sz w:val="32"/>
          <w:szCs w:val="32"/>
          <w:lang w:val="en-US" w:eastAsia="zh-CN"/>
        </w:rPr>
        <w:t>社区社会组织贴心人</w:t>
      </w:r>
      <w:r>
        <w:rPr>
          <w:rFonts w:hint="eastAsia" w:ascii="华文中宋" w:hAnsi="华文中宋" w:eastAsia="华文中宋" w:cs="华文中宋"/>
          <w:b w:val="0"/>
          <w:bCs w:val="0"/>
          <w:sz w:val="32"/>
          <w:szCs w:val="32"/>
        </w:rPr>
        <w:t>项目招标文件</w:t>
      </w:r>
    </w:p>
    <w:p>
      <w:pPr>
        <w:pStyle w:val="5"/>
        <w:widowControl w:val="0"/>
        <w:tabs>
          <w:tab w:val="center" w:pos="4153"/>
          <w:tab w:val="left" w:pos="7410"/>
        </w:tabs>
        <w:snapToGrid w:val="0"/>
        <w:jc w:val="center"/>
        <w:rPr>
          <w:rFonts w:hint="default"/>
          <w:b/>
          <w:color w:val="000000"/>
          <w:sz w:val="28"/>
        </w:rPr>
      </w:pPr>
    </w:p>
    <w:p>
      <w:pPr>
        <w:pStyle w:val="5"/>
        <w:widowControl w:val="0"/>
        <w:tabs>
          <w:tab w:val="center" w:pos="4153"/>
          <w:tab w:val="left" w:pos="7410"/>
        </w:tabs>
        <w:snapToGrid w:val="0"/>
        <w:jc w:val="center"/>
        <w:rPr>
          <w:rFonts w:ascii="黑体" w:eastAsia="黑体"/>
          <w:color w:val="000000"/>
          <w:sz w:val="30"/>
        </w:rPr>
      </w:pPr>
      <w:r>
        <w:rPr>
          <w:rFonts w:ascii="黑体" w:eastAsia="黑体"/>
          <w:color w:val="000000"/>
          <w:sz w:val="30"/>
        </w:rPr>
        <w:t xml:space="preserve"> </w:t>
      </w:r>
    </w:p>
    <w:p>
      <w:pPr>
        <w:pStyle w:val="5"/>
        <w:widowControl w:val="0"/>
        <w:tabs>
          <w:tab w:val="center" w:pos="4153"/>
          <w:tab w:val="left" w:pos="7410"/>
        </w:tabs>
        <w:snapToGrid w:val="0"/>
        <w:jc w:val="center"/>
        <w:rPr>
          <w:rFonts w:ascii="黑体" w:eastAsia="黑体"/>
          <w:color w:val="000000"/>
          <w:sz w:val="30"/>
        </w:rPr>
      </w:pPr>
    </w:p>
    <w:p>
      <w:pPr>
        <w:pStyle w:val="5"/>
        <w:widowControl w:val="0"/>
        <w:tabs>
          <w:tab w:val="center" w:pos="4153"/>
          <w:tab w:val="left" w:pos="7410"/>
        </w:tabs>
        <w:snapToGrid w:val="0"/>
        <w:ind w:firstLine="900" w:firstLineChars="300"/>
        <w:jc w:val="both"/>
        <w:rPr>
          <w:rFonts w:ascii="楷体_GB2312" w:eastAsia="楷体_GB2312"/>
          <w:w w:val="95"/>
          <w:sz w:val="28"/>
          <w:szCs w:val="21"/>
          <w:u w:val="single"/>
          <w:lang w:val="en-US"/>
        </w:rPr>
      </w:pPr>
      <w:r>
        <w:rPr>
          <w:rFonts w:ascii="黑体" w:eastAsia="黑体"/>
          <w:color w:val="000000"/>
          <w:sz w:val="30"/>
        </w:rPr>
        <w:t>项目名称</w:t>
      </w:r>
      <w:r>
        <w:rPr>
          <w:color w:val="000000"/>
          <w:sz w:val="30"/>
        </w:rPr>
        <w:t>：</w:t>
      </w:r>
      <w:r>
        <w:rPr>
          <w:rFonts w:hint="eastAsia" w:ascii="楷体_GB2312" w:eastAsia="楷体_GB2312"/>
          <w:w w:val="95"/>
          <w:sz w:val="30"/>
          <w:szCs w:val="30"/>
          <w:u w:val="single"/>
          <w:lang w:val="en-US" w:eastAsia="zh-CN"/>
        </w:rPr>
        <w:t xml:space="preserve">2019年度五里桥社区社会组织贴心人项目 </w:t>
      </w:r>
      <w:r>
        <w:rPr>
          <w:rFonts w:hint="eastAsia" w:ascii="楷体_GB2312" w:eastAsia="楷体_GB2312"/>
          <w:w w:val="95"/>
          <w:sz w:val="28"/>
          <w:szCs w:val="21"/>
          <w:u w:val="single"/>
          <w:lang w:val="en-US" w:eastAsia="zh-CN"/>
        </w:rPr>
        <w:t xml:space="preserve">       </w:t>
      </w:r>
    </w:p>
    <w:p>
      <w:pPr>
        <w:pStyle w:val="5"/>
        <w:widowControl w:val="0"/>
        <w:tabs>
          <w:tab w:val="center" w:pos="4153"/>
          <w:tab w:val="left" w:pos="7410"/>
        </w:tabs>
        <w:snapToGrid w:val="0"/>
        <w:ind w:firstLine="900" w:firstLineChars="300"/>
        <w:jc w:val="both"/>
        <w:rPr>
          <w:rFonts w:hint="eastAsia" w:eastAsia="楷体_GB2312"/>
          <w:u w:val="single"/>
          <w:lang w:val="en-US" w:eastAsia="zh-CN"/>
        </w:rPr>
      </w:pPr>
      <w:r>
        <w:rPr>
          <w:rFonts w:ascii="黑体" w:eastAsia="黑体"/>
          <w:sz w:val="30"/>
        </w:rPr>
        <w:t>招标编号</w:t>
      </w:r>
      <w:r>
        <w:rPr>
          <w:rFonts w:ascii="楷体_GB2312" w:eastAsia="楷体_GB2312"/>
          <w:sz w:val="30"/>
        </w:rPr>
        <w:t>：</w:t>
      </w:r>
      <w:r>
        <w:rPr>
          <w:rFonts w:ascii="楷体_GB2312" w:eastAsia="楷体_GB2312"/>
          <w:sz w:val="30"/>
          <w:u w:val="single"/>
        </w:rPr>
        <w:t>HPWL</w:t>
      </w:r>
      <w:r>
        <w:rPr>
          <w:rFonts w:hint="eastAsia" w:ascii="楷体_GB2312" w:eastAsia="楷体_GB2312"/>
          <w:sz w:val="30"/>
          <w:u w:val="single"/>
          <w:lang w:val="en-US" w:eastAsia="zh-CN"/>
        </w:rPr>
        <w:t xml:space="preserve">201907                             </w:t>
      </w:r>
    </w:p>
    <w:p>
      <w:pPr>
        <w:pStyle w:val="5"/>
        <w:widowControl w:val="0"/>
        <w:tabs>
          <w:tab w:val="center" w:pos="4153"/>
          <w:tab w:val="left" w:pos="7410"/>
        </w:tabs>
        <w:snapToGrid w:val="0"/>
        <w:ind w:firstLine="2400" w:firstLineChars="800"/>
        <w:rPr>
          <w:rFonts w:hint="default"/>
          <w:color w:val="000000"/>
          <w:sz w:val="30"/>
        </w:rPr>
      </w:pPr>
    </w:p>
    <w:p>
      <w:pPr>
        <w:pStyle w:val="5"/>
        <w:widowControl w:val="0"/>
        <w:snapToGrid w:val="0"/>
        <w:ind w:firstLine="1405" w:firstLineChars="500"/>
        <w:rPr>
          <w:rFonts w:hint="default"/>
          <w:b/>
          <w:color w:val="000000"/>
          <w:sz w:val="28"/>
        </w:rPr>
      </w:pPr>
    </w:p>
    <w:p>
      <w:pPr>
        <w:pStyle w:val="5"/>
        <w:widowControl w:val="0"/>
        <w:snapToGrid w:val="0"/>
        <w:ind w:firstLine="1405" w:firstLineChars="500"/>
        <w:rPr>
          <w:rFonts w:hint="default"/>
          <w:b/>
          <w:color w:val="000000"/>
          <w:sz w:val="28"/>
        </w:rPr>
      </w:pPr>
    </w:p>
    <w:p>
      <w:pPr>
        <w:pStyle w:val="5"/>
        <w:widowControl w:val="0"/>
        <w:snapToGrid w:val="0"/>
        <w:ind w:firstLine="1405" w:firstLineChars="500"/>
        <w:rPr>
          <w:rFonts w:hint="default"/>
          <w:b/>
          <w:color w:val="000000"/>
          <w:sz w:val="28"/>
        </w:rPr>
      </w:pPr>
    </w:p>
    <w:p>
      <w:pPr>
        <w:pStyle w:val="5"/>
        <w:widowControl w:val="0"/>
        <w:snapToGrid w:val="0"/>
        <w:rPr>
          <w:rStyle w:val="8"/>
          <w:rFonts w:hint="eastAsia"/>
          <w:b w:val="0"/>
          <w:color w:val="000000"/>
          <w:sz w:val="28"/>
        </w:rPr>
      </w:pPr>
    </w:p>
    <w:p>
      <w:pPr>
        <w:pStyle w:val="5"/>
        <w:widowControl w:val="0"/>
        <w:snapToGrid w:val="0"/>
        <w:rPr>
          <w:rStyle w:val="8"/>
          <w:rFonts w:hint="eastAsia" w:ascii="黑体" w:eastAsia="黑体"/>
          <w:b w:val="0"/>
          <w:sz w:val="28"/>
        </w:rPr>
      </w:pPr>
    </w:p>
    <w:p>
      <w:pPr>
        <w:pStyle w:val="5"/>
        <w:widowControl w:val="0"/>
        <w:snapToGrid w:val="0"/>
        <w:ind w:firstLine="560" w:firstLineChars="200"/>
        <w:jc w:val="both"/>
        <w:rPr>
          <w:rStyle w:val="8"/>
          <w:rFonts w:hint="eastAsia" w:ascii="黑体" w:eastAsia="黑体"/>
          <w:b w:val="0"/>
          <w:sz w:val="28"/>
        </w:rPr>
      </w:pPr>
      <w:r>
        <w:rPr>
          <w:rStyle w:val="8"/>
          <w:rFonts w:hint="eastAsia" w:ascii="黑体" w:eastAsia="黑体"/>
          <w:b w:val="0"/>
          <w:sz w:val="28"/>
        </w:rPr>
        <w:t xml:space="preserve">       </w:t>
      </w:r>
    </w:p>
    <w:p>
      <w:pPr>
        <w:pStyle w:val="5"/>
        <w:widowControl w:val="0"/>
        <w:snapToGrid w:val="0"/>
        <w:ind w:firstLine="560" w:firstLineChars="200"/>
        <w:jc w:val="both"/>
        <w:rPr>
          <w:rStyle w:val="8"/>
          <w:rFonts w:hint="eastAsia" w:ascii="楷体" w:hAnsi="楷体" w:eastAsia="楷体" w:cs="楷体"/>
          <w:b w:val="0"/>
          <w:sz w:val="30"/>
          <w:szCs w:val="30"/>
          <w:u w:val="single"/>
          <w:lang w:val="en-US" w:eastAsia="zh-CN"/>
        </w:rPr>
      </w:pPr>
      <w:r>
        <w:rPr>
          <w:rStyle w:val="8"/>
          <w:rFonts w:hint="eastAsia" w:ascii="黑体" w:eastAsia="黑体"/>
          <w:b w:val="0"/>
          <w:sz w:val="28"/>
        </w:rPr>
        <w:t xml:space="preserve">  招  标  人</w:t>
      </w:r>
      <w:r>
        <w:rPr>
          <w:rStyle w:val="8"/>
          <w:rFonts w:hint="eastAsia"/>
          <w:b w:val="0"/>
          <w:sz w:val="28"/>
        </w:rPr>
        <w:t>：</w:t>
      </w:r>
      <w:r>
        <w:rPr>
          <w:rStyle w:val="8"/>
          <w:rFonts w:hint="eastAsia" w:ascii="楷体" w:hAnsi="楷体" w:eastAsia="楷体" w:cs="楷体"/>
          <w:b w:val="0"/>
          <w:sz w:val="30"/>
          <w:szCs w:val="30"/>
          <w:u w:val="single"/>
        </w:rPr>
        <w:t>上海市黄浦区</w:t>
      </w:r>
      <w:r>
        <w:rPr>
          <w:rStyle w:val="8"/>
          <w:rFonts w:hint="eastAsia" w:ascii="楷体" w:hAnsi="楷体" w:eastAsia="楷体" w:cs="楷体"/>
          <w:b w:val="0"/>
          <w:sz w:val="30"/>
          <w:szCs w:val="30"/>
          <w:u w:val="single"/>
          <w:lang w:val="en-US" w:eastAsia="zh-CN"/>
        </w:rPr>
        <w:t>人民政府</w:t>
      </w:r>
      <w:r>
        <w:rPr>
          <w:rStyle w:val="8"/>
          <w:rFonts w:hint="eastAsia" w:ascii="楷体" w:hAnsi="楷体" w:eastAsia="楷体" w:cs="楷体"/>
          <w:b w:val="0"/>
          <w:sz w:val="30"/>
          <w:szCs w:val="30"/>
          <w:u w:val="single"/>
        </w:rPr>
        <w:t>五里桥街道</w:t>
      </w:r>
      <w:r>
        <w:rPr>
          <w:rStyle w:val="8"/>
          <w:rFonts w:hint="eastAsia" w:ascii="楷体" w:hAnsi="楷体" w:eastAsia="楷体" w:cs="楷体"/>
          <w:b w:val="0"/>
          <w:sz w:val="30"/>
          <w:szCs w:val="30"/>
          <w:u w:val="single"/>
          <w:lang w:val="en-US" w:eastAsia="zh-CN"/>
        </w:rPr>
        <w:t>办事处</w:t>
      </w:r>
    </w:p>
    <w:p>
      <w:pPr>
        <w:pStyle w:val="5"/>
        <w:widowControl w:val="0"/>
        <w:snapToGrid w:val="0"/>
        <w:ind w:firstLine="840" w:firstLineChars="300"/>
        <w:jc w:val="both"/>
        <w:rPr>
          <w:rStyle w:val="8"/>
          <w:rFonts w:hint="eastAsia" w:cs="宋体"/>
          <w:b w:val="0"/>
          <w:color w:val="000000"/>
          <w:sz w:val="28"/>
          <w:u w:val="single"/>
          <w:lang w:val="en-US"/>
        </w:rPr>
      </w:pPr>
      <w:r>
        <w:rPr>
          <w:rStyle w:val="8"/>
          <w:rFonts w:hint="eastAsia" w:ascii="黑体" w:eastAsia="黑体"/>
          <w:b w:val="0"/>
          <w:color w:val="000000"/>
          <w:sz w:val="28"/>
        </w:rPr>
        <w:t>招标代理人：</w:t>
      </w:r>
      <w:r>
        <w:rPr>
          <w:rStyle w:val="8"/>
          <w:rFonts w:hint="eastAsia" w:ascii="楷体" w:hAnsi="楷体" w:eastAsia="楷体" w:cs="楷体"/>
          <w:b w:val="0"/>
          <w:bCs/>
          <w:color w:val="000000"/>
          <w:sz w:val="30"/>
          <w:szCs w:val="30"/>
          <w:u w:val="single"/>
          <w:lang w:val="en-US" w:eastAsia="zh-CN"/>
        </w:rPr>
        <w:t xml:space="preserve">上海市阳光善行公益事务中心          </w:t>
      </w:r>
    </w:p>
    <w:p>
      <w:pPr>
        <w:pStyle w:val="5"/>
        <w:widowControl w:val="0"/>
        <w:snapToGrid w:val="0"/>
        <w:jc w:val="center"/>
        <w:rPr>
          <w:rStyle w:val="8"/>
          <w:rFonts w:hint="eastAsia" w:ascii="黑体" w:eastAsia="黑体"/>
          <w:b w:val="0"/>
          <w:color w:val="000000"/>
          <w:sz w:val="28"/>
        </w:rPr>
      </w:pPr>
    </w:p>
    <w:p>
      <w:pPr>
        <w:pStyle w:val="5"/>
        <w:widowControl w:val="0"/>
        <w:tabs>
          <w:tab w:val="center" w:pos="4153"/>
          <w:tab w:val="left" w:pos="7410"/>
        </w:tabs>
        <w:snapToGrid w:val="0"/>
        <w:jc w:val="center"/>
        <w:rPr>
          <w:rFonts w:hint="eastAsia" w:ascii="华文中宋" w:hAnsi="华文中宋" w:eastAsia="华文中宋" w:cs="华文中宋"/>
          <w:b/>
          <w:bCs/>
          <w:sz w:val="36"/>
          <w:szCs w:val="36"/>
        </w:rPr>
        <w:sectPr>
          <w:pgSz w:w="11906" w:h="16838"/>
          <w:pgMar w:top="1440" w:right="1800" w:bottom="1440" w:left="1800" w:header="851" w:footer="992" w:gutter="0"/>
          <w:cols w:space="425" w:num="1"/>
          <w:docGrid w:type="lines" w:linePitch="312" w:charSpace="0"/>
        </w:sectPr>
      </w:pPr>
    </w:p>
    <w:p>
      <w:pPr>
        <w:jc w:val="center"/>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4"/>
        <w:spacing w:line="360" w:lineRule="auto"/>
        <w:ind w:firstLine="0"/>
        <w:rPr>
          <w:rFonts w:ascii="仿宋" w:hAnsi="仿宋" w:eastAsia="仿宋"/>
          <w:sz w:val="24"/>
        </w:rPr>
      </w:pPr>
      <w:r>
        <w:rPr>
          <w:rFonts w:ascii="仿宋" w:hAnsi="仿宋" w:eastAsia="仿宋"/>
          <w:sz w:val="24"/>
        </w:rPr>
        <w:t xml:space="preserve">    </w:t>
      </w:r>
    </w:p>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sz w:val="24"/>
        </w:rPr>
      </w:pPr>
      <w:r>
        <w:rPr>
          <w:rFonts w:hint="eastAsia" w:ascii="仿宋" w:hAnsi="仿宋" w:eastAsia="仿宋"/>
          <w:sz w:val="24"/>
          <w:lang w:val="en-US" w:eastAsia="zh-CN"/>
        </w:rPr>
        <w:t>上海市阳光善行公益事务中心</w:t>
      </w:r>
      <w:r>
        <w:rPr>
          <w:rFonts w:ascii="仿宋" w:hAnsi="仿宋" w:eastAsia="仿宋"/>
          <w:sz w:val="24"/>
        </w:rPr>
        <w:t>受五里桥</w:t>
      </w:r>
      <w:r>
        <w:rPr>
          <w:rFonts w:hint="eastAsia" w:ascii="仿宋" w:hAnsi="仿宋" w:eastAsia="仿宋"/>
          <w:sz w:val="24"/>
          <w:lang w:val="en-US" w:eastAsia="zh-CN"/>
        </w:rPr>
        <w:t>街道办事处</w:t>
      </w:r>
      <w:r>
        <w:rPr>
          <w:rFonts w:ascii="仿宋" w:hAnsi="仿宋" w:eastAsia="仿宋"/>
          <w:sz w:val="24"/>
        </w:rPr>
        <w:t>委托，对</w:t>
      </w:r>
      <w:r>
        <w:rPr>
          <w:rFonts w:hint="eastAsia" w:ascii="仿宋" w:hAnsi="仿宋" w:eastAsia="仿宋"/>
          <w:sz w:val="24"/>
          <w:lang w:val="en-US" w:eastAsia="zh-CN"/>
        </w:rPr>
        <w:t>社会组织贴心人项目进行公开招标</w:t>
      </w:r>
      <w:r>
        <w:rPr>
          <w:rFonts w:ascii="仿宋" w:hAnsi="仿宋" w:eastAsia="仿宋"/>
          <w:sz w:val="24"/>
        </w:rPr>
        <w:t>，邀请相关投标人前来投标</w:t>
      </w:r>
      <w:r>
        <w:rPr>
          <w:rFonts w:hint="eastAsia" w:ascii="仿宋" w:hAnsi="仿宋" w:eastAsia="仿宋"/>
          <w:sz w:val="24"/>
          <w:lang w:eastAsia="zh-CN"/>
        </w:rPr>
        <w:t>，</w:t>
      </w:r>
      <w:r>
        <w:rPr>
          <w:rFonts w:hint="eastAsia" w:ascii="仿宋" w:hAnsi="仿宋" w:eastAsia="仿宋"/>
          <w:sz w:val="24"/>
          <w:lang w:val="en-US" w:eastAsia="zh-CN"/>
        </w:rPr>
        <w:t>具体事项如下：</w:t>
      </w:r>
    </w:p>
    <w:p>
      <w:pPr>
        <w:spacing w:line="360" w:lineRule="auto"/>
        <w:rPr>
          <w:rFonts w:hint="eastAsia" w:ascii="黑体" w:hAnsi="黑体" w:eastAsia="黑体" w:cs="黑体"/>
          <w:sz w:val="24"/>
        </w:rPr>
      </w:pPr>
      <w:r>
        <w:rPr>
          <w:rFonts w:hint="eastAsia" w:ascii="仿宋" w:hAnsi="仿宋" w:eastAsia="仿宋"/>
          <w:sz w:val="24"/>
        </w:rPr>
        <w:t xml:space="preserve">   </w:t>
      </w:r>
      <w:r>
        <w:rPr>
          <w:rFonts w:hint="eastAsia" w:ascii="黑体" w:hAnsi="黑体" w:eastAsia="黑体" w:cs="黑体"/>
          <w:sz w:val="24"/>
          <w:lang w:val="en-US" w:eastAsia="zh-CN"/>
        </w:rPr>
        <w:t>一、采购信息</w:t>
      </w:r>
    </w:p>
    <w:p>
      <w:pPr>
        <w:spacing w:line="360" w:lineRule="auto"/>
        <w:ind w:firstLine="480" w:firstLineChars="200"/>
        <w:rPr>
          <w:rFonts w:hint="eastAsia" w:ascii="仿宋" w:hAnsi="仿宋" w:eastAsia="仿宋"/>
          <w:sz w:val="24"/>
          <w:lang w:val="en-US" w:eastAsia="zh-CN"/>
        </w:rPr>
      </w:pPr>
      <w:r>
        <w:rPr>
          <w:rFonts w:hint="eastAsia" w:ascii="仿宋" w:hAnsi="仿宋" w:eastAsia="仿宋"/>
          <w:sz w:val="24"/>
        </w:rPr>
        <w:t>1.</w:t>
      </w:r>
      <w:r>
        <w:rPr>
          <w:rFonts w:hint="eastAsia" w:ascii="仿宋" w:hAnsi="仿宋" w:eastAsia="仿宋"/>
          <w:sz w:val="24"/>
          <w:lang w:val="en-US" w:eastAsia="zh-CN"/>
        </w:rPr>
        <w:t>1</w:t>
      </w:r>
      <w:r>
        <w:rPr>
          <w:rFonts w:hint="eastAsia" w:ascii="仿宋" w:hAnsi="仿宋" w:eastAsia="仿宋"/>
          <w:sz w:val="24"/>
        </w:rPr>
        <w:t>采购编号：</w:t>
      </w:r>
      <w:bookmarkStart w:id="0" w:name="招标编号2"/>
      <w:bookmarkEnd w:id="0"/>
      <w:r>
        <w:rPr>
          <w:rFonts w:hint="eastAsia" w:ascii="仿宋" w:hAnsi="仿宋" w:eastAsia="仿宋"/>
          <w:sz w:val="24"/>
          <w:lang w:val="en-US" w:eastAsia="zh-CN"/>
        </w:rPr>
        <w:t>HPWL201907</w:t>
      </w:r>
    </w:p>
    <w:p>
      <w:pPr>
        <w:spacing w:line="360" w:lineRule="auto"/>
        <w:ind w:firstLine="480" w:firstLineChars="200"/>
        <w:rPr>
          <w:rFonts w:ascii="仿宋" w:hAnsi="仿宋" w:eastAsia="仿宋"/>
          <w:sz w:val="24"/>
        </w:rPr>
      </w:pPr>
      <w:r>
        <w:rPr>
          <w:rFonts w:ascii="仿宋" w:hAnsi="仿宋" w:eastAsia="仿宋"/>
          <w:sz w:val="24"/>
        </w:rPr>
        <w:t>1.2</w:t>
      </w:r>
      <w:r>
        <w:rPr>
          <w:rFonts w:hint="eastAsia" w:ascii="仿宋" w:hAnsi="仿宋" w:eastAsia="仿宋"/>
          <w:sz w:val="24"/>
        </w:rPr>
        <w:t>项目名称：</w:t>
      </w:r>
      <w:bookmarkStart w:id="1" w:name="项目名称3"/>
      <w:bookmarkEnd w:id="1"/>
      <w:r>
        <w:rPr>
          <w:rFonts w:hint="eastAsia" w:ascii="仿宋" w:hAnsi="仿宋" w:eastAsia="仿宋"/>
          <w:sz w:val="24"/>
          <w:lang w:val="en-US" w:eastAsia="zh-CN"/>
        </w:rPr>
        <w:t>2019年度五里桥社区社会组织贴心人项目</w:t>
      </w:r>
    </w:p>
    <w:p>
      <w:pPr>
        <w:spacing w:line="360" w:lineRule="auto"/>
        <w:ind w:firstLine="480" w:firstLineChars="200"/>
        <w:rPr>
          <w:rFonts w:hint="eastAsia" w:ascii="仿宋" w:hAnsi="仿宋" w:eastAsia="仿宋"/>
          <w:sz w:val="24"/>
        </w:rPr>
      </w:pPr>
      <w:r>
        <w:rPr>
          <w:rFonts w:ascii="仿宋" w:hAnsi="仿宋" w:eastAsia="仿宋"/>
          <w:sz w:val="24"/>
        </w:rPr>
        <w:t>1.3</w:t>
      </w:r>
      <w:r>
        <w:rPr>
          <w:rFonts w:hint="eastAsia" w:ascii="仿宋" w:hAnsi="仿宋" w:eastAsia="仿宋"/>
          <w:sz w:val="24"/>
        </w:rPr>
        <w:t>服务对象：</w:t>
      </w:r>
      <w:r>
        <w:rPr>
          <w:rFonts w:hint="eastAsia" w:ascii="仿宋" w:hAnsi="仿宋" w:eastAsia="仿宋"/>
          <w:sz w:val="24"/>
          <w:lang w:val="en-US" w:eastAsia="zh-CN"/>
        </w:rPr>
        <w:t>五里桥辖区内社会组织、群众公益团队</w:t>
      </w:r>
    </w:p>
    <w:p>
      <w:pPr>
        <w:spacing w:line="360" w:lineRule="auto"/>
        <w:ind w:firstLine="480" w:firstLineChars="200"/>
        <w:rPr>
          <w:rFonts w:ascii="仿宋" w:hAnsi="仿宋" w:eastAsia="仿宋"/>
          <w:sz w:val="24"/>
        </w:rPr>
      </w:pPr>
      <w:r>
        <w:rPr>
          <w:rFonts w:ascii="仿宋" w:hAnsi="仿宋" w:eastAsia="仿宋"/>
          <w:sz w:val="24"/>
        </w:rPr>
        <w:t>1.4</w:t>
      </w:r>
      <w:r>
        <w:rPr>
          <w:rFonts w:hint="eastAsia" w:ascii="仿宋" w:hAnsi="仿宋" w:eastAsia="仿宋"/>
          <w:sz w:val="24"/>
        </w:rPr>
        <w:t>项目实施地点：</w:t>
      </w:r>
      <w:bookmarkStart w:id="2" w:name="实施地点1"/>
      <w:bookmarkEnd w:id="2"/>
      <w:r>
        <w:rPr>
          <w:rFonts w:hint="eastAsia" w:ascii="仿宋" w:hAnsi="仿宋" w:eastAsia="仿宋"/>
          <w:sz w:val="24"/>
        </w:rPr>
        <w:t>五里桥街道</w:t>
      </w:r>
      <w:r>
        <w:rPr>
          <w:rFonts w:ascii="仿宋" w:hAnsi="仿宋" w:eastAsia="仿宋"/>
          <w:sz w:val="24"/>
        </w:rPr>
        <w:t xml:space="preserve"> </w:t>
      </w:r>
    </w:p>
    <w:p>
      <w:pPr>
        <w:spacing w:line="360" w:lineRule="auto"/>
        <w:ind w:firstLine="480" w:firstLineChars="200"/>
        <w:rPr>
          <w:rFonts w:ascii="仿宋" w:hAnsi="仿宋" w:eastAsia="仿宋"/>
          <w:sz w:val="24"/>
        </w:rPr>
      </w:pPr>
      <w:r>
        <w:rPr>
          <w:rFonts w:ascii="仿宋" w:hAnsi="仿宋" w:eastAsia="仿宋"/>
          <w:sz w:val="24"/>
        </w:rPr>
        <w:t>1.5</w:t>
      </w:r>
      <w:r>
        <w:rPr>
          <w:rFonts w:hint="eastAsia" w:ascii="仿宋" w:hAnsi="仿宋" w:eastAsia="仿宋"/>
          <w:sz w:val="24"/>
        </w:rPr>
        <w:t>项目周期：</w:t>
      </w:r>
      <w:bookmarkStart w:id="3" w:name="项目周期1"/>
      <w:bookmarkEnd w:id="3"/>
      <w:r>
        <w:rPr>
          <w:rFonts w:ascii="仿宋" w:hAnsi="仿宋" w:eastAsia="仿宋"/>
          <w:sz w:val="24"/>
        </w:rPr>
        <w:t>201</w:t>
      </w:r>
      <w:r>
        <w:rPr>
          <w:rFonts w:hint="eastAsia" w:ascii="仿宋" w:hAnsi="仿宋" w:eastAsia="仿宋"/>
          <w:sz w:val="24"/>
          <w:lang w:val="en-US" w:eastAsia="zh-CN"/>
        </w:rPr>
        <w:t>9</w:t>
      </w:r>
      <w:r>
        <w:rPr>
          <w:rFonts w:hint="eastAsia" w:ascii="仿宋" w:hAnsi="仿宋" w:eastAsia="仿宋"/>
          <w:sz w:val="24"/>
        </w:rPr>
        <w:t>年</w:t>
      </w:r>
      <w:r>
        <w:rPr>
          <w:rFonts w:hint="eastAsia" w:ascii="仿宋" w:hAnsi="仿宋" w:eastAsia="仿宋"/>
          <w:sz w:val="24"/>
          <w:lang w:val="en-US" w:eastAsia="zh-CN"/>
        </w:rPr>
        <w:t>1</w:t>
      </w:r>
      <w:r>
        <w:rPr>
          <w:rFonts w:hint="eastAsia" w:ascii="仿宋" w:hAnsi="仿宋" w:eastAsia="仿宋"/>
          <w:sz w:val="24"/>
        </w:rPr>
        <w:t>月</w:t>
      </w:r>
      <w:r>
        <w:rPr>
          <w:rFonts w:ascii="仿宋" w:hAnsi="仿宋" w:eastAsia="仿宋"/>
          <w:sz w:val="24"/>
        </w:rPr>
        <w:t>—201</w:t>
      </w:r>
      <w:r>
        <w:rPr>
          <w:rFonts w:hint="eastAsia" w:ascii="仿宋" w:hAnsi="仿宋" w:eastAsia="仿宋"/>
          <w:sz w:val="24"/>
          <w:lang w:val="en-US" w:eastAsia="zh-CN"/>
        </w:rPr>
        <w:t>9</w:t>
      </w:r>
      <w:r>
        <w:rPr>
          <w:rFonts w:hint="eastAsia" w:ascii="仿宋" w:hAnsi="仿宋" w:eastAsia="仿宋"/>
          <w:sz w:val="24"/>
        </w:rPr>
        <w:t>年</w:t>
      </w:r>
      <w:r>
        <w:rPr>
          <w:rFonts w:hint="eastAsia" w:ascii="仿宋" w:hAnsi="仿宋" w:eastAsia="仿宋"/>
          <w:sz w:val="24"/>
          <w:lang w:val="en-US" w:eastAsia="zh-CN"/>
        </w:rPr>
        <w:t>10</w:t>
      </w:r>
      <w:r>
        <w:rPr>
          <w:rFonts w:hint="eastAsia" w:ascii="仿宋" w:hAnsi="仿宋" w:eastAsia="仿宋"/>
          <w:sz w:val="24"/>
        </w:rPr>
        <w:t>月</w:t>
      </w:r>
      <w:r>
        <w:rPr>
          <w:rFonts w:ascii="仿宋" w:hAnsi="仿宋" w:eastAsia="仿宋"/>
          <w:sz w:val="24"/>
        </w:rPr>
        <w:t xml:space="preserve"> </w:t>
      </w:r>
    </w:p>
    <w:p>
      <w:pPr>
        <w:spacing w:line="360" w:lineRule="auto"/>
        <w:ind w:firstLine="480" w:firstLineChars="200"/>
        <w:rPr>
          <w:rFonts w:hint="eastAsia" w:ascii="仿宋" w:hAnsi="仿宋" w:eastAsia="仿宋"/>
          <w:sz w:val="24"/>
        </w:rPr>
      </w:pPr>
      <w:r>
        <w:rPr>
          <w:rFonts w:ascii="仿宋" w:hAnsi="仿宋" w:eastAsia="仿宋"/>
          <w:sz w:val="24"/>
        </w:rPr>
        <w:t>1.6</w:t>
      </w:r>
      <w:r>
        <w:rPr>
          <w:rFonts w:hint="eastAsia" w:ascii="仿宋" w:hAnsi="仿宋" w:eastAsia="仿宋"/>
          <w:sz w:val="24"/>
        </w:rPr>
        <w:t>采购报价：</w:t>
      </w:r>
      <w:r>
        <w:rPr>
          <w:rFonts w:hint="eastAsia" w:ascii="仿宋" w:hAnsi="仿宋" w:eastAsia="仿宋"/>
          <w:sz w:val="24"/>
          <w:lang w:val="en-US" w:eastAsia="zh-CN"/>
        </w:rPr>
        <w:t>145000</w:t>
      </w:r>
      <w:r>
        <w:rPr>
          <w:rFonts w:hint="eastAsia" w:ascii="仿宋" w:hAnsi="仿宋" w:eastAsia="仿宋"/>
          <w:sz w:val="24"/>
        </w:rPr>
        <w:t>元</w:t>
      </w:r>
    </w:p>
    <w:p>
      <w:pPr>
        <w:spacing w:line="360" w:lineRule="auto"/>
        <w:ind w:firstLine="480" w:firstLineChars="200"/>
        <w:rPr>
          <w:rFonts w:hint="eastAsia" w:ascii="仿宋" w:hAnsi="仿宋" w:eastAsia="仿宋"/>
          <w:sz w:val="24"/>
        </w:rPr>
      </w:pPr>
      <w:r>
        <w:rPr>
          <w:rFonts w:ascii="仿宋" w:hAnsi="仿宋" w:eastAsia="仿宋"/>
          <w:sz w:val="24"/>
        </w:rPr>
        <w:t>1.7</w:t>
      </w:r>
      <w:r>
        <w:rPr>
          <w:rFonts w:hint="eastAsia" w:ascii="仿宋" w:hAnsi="仿宋" w:eastAsia="仿宋"/>
          <w:sz w:val="24"/>
        </w:rPr>
        <w:t>付款方式：</w:t>
      </w:r>
      <w:bookmarkStart w:id="4" w:name="付款方式1"/>
      <w:bookmarkEnd w:id="4"/>
      <w:r>
        <w:rPr>
          <w:rFonts w:hint="eastAsia" w:ascii="仿宋" w:hAnsi="仿宋" w:eastAsia="仿宋"/>
          <w:sz w:val="24"/>
        </w:rPr>
        <w:t>分期付款</w:t>
      </w:r>
      <w:r>
        <w:rPr>
          <w:rFonts w:hint="eastAsia" w:eastAsia="仿宋_GB2312"/>
          <w:sz w:val="24"/>
        </w:rPr>
        <w:t>（比例</w:t>
      </w:r>
      <w:r>
        <w:rPr>
          <w:rFonts w:hint="eastAsia" w:eastAsia="仿宋_GB2312"/>
          <w:sz w:val="24"/>
          <w:lang w:eastAsia="zh-CN"/>
        </w:rPr>
        <w:t>由供需双方协商确认</w:t>
      </w:r>
      <w:r>
        <w:rPr>
          <w:rFonts w:hint="eastAsia" w:eastAsia="仿宋_GB2312"/>
          <w:sz w:val="24"/>
        </w:rPr>
        <w:t>）。</w:t>
      </w:r>
    </w:p>
    <w:p>
      <w:pPr>
        <w:spacing w:line="360" w:lineRule="auto"/>
        <w:ind w:firstLine="480" w:firstLineChars="200"/>
        <w:rPr>
          <w:rFonts w:hint="eastAsia" w:ascii="黑体" w:hAnsi="黑体" w:eastAsia="黑体" w:cs="黑体"/>
          <w:sz w:val="24"/>
          <w:lang w:val="en-US" w:eastAsia="zh-CN"/>
        </w:rPr>
      </w:pPr>
      <w:r>
        <w:rPr>
          <w:rFonts w:hint="eastAsia" w:ascii="黑体" w:hAnsi="黑体" w:eastAsia="黑体" w:cs="黑体"/>
          <w:sz w:val="24"/>
          <w:lang w:val="en-US" w:eastAsia="zh-CN"/>
        </w:rPr>
        <w:t>二、投标要求</w:t>
      </w:r>
    </w:p>
    <w:p>
      <w:pPr>
        <w:spacing w:line="360" w:lineRule="auto"/>
        <w:ind w:firstLine="480" w:firstLineChars="200"/>
        <w:rPr>
          <w:rFonts w:eastAsia="仿宋_GB2312"/>
          <w:sz w:val="24"/>
        </w:rPr>
      </w:pPr>
      <w:r>
        <w:rPr>
          <w:rFonts w:hint="eastAsia" w:eastAsia="仿宋_GB2312"/>
          <w:sz w:val="24"/>
        </w:rPr>
        <w:t>2.1依法登记的社会团体、民办非企业单位和公益性非营利的事业单位</w:t>
      </w:r>
    </w:p>
    <w:p>
      <w:pPr>
        <w:spacing w:line="360" w:lineRule="auto"/>
        <w:ind w:firstLine="480" w:firstLineChars="200"/>
        <w:rPr>
          <w:rFonts w:hint="eastAsia" w:eastAsia="仿宋_GB2312"/>
          <w:sz w:val="24"/>
        </w:rPr>
      </w:pPr>
      <w:r>
        <w:rPr>
          <w:rFonts w:eastAsia="仿宋_GB2312"/>
          <w:sz w:val="24"/>
        </w:rPr>
        <w:t>2.</w:t>
      </w:r>
      <w:r>
        <w:rPr>
          <w:rFonts w:hint="eastAsia" w:eastAsia="仿宋_GB2312"/>
          <w:sz w:val="24"/>
        </w:rPr>
        <w:t>2投标人所投项目应与其业务范围或组织宗旨相关</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2.3治理结构健全，内部管理和监督制度完善</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2.4具有独立、健全的财务管理、会计核算和资产管理制度</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2.5具备提供服务所必需的设施、人员和专业技术能力</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2.6具有依法缴纳税收和社会保障资金的良好记录</w:t>
      </w:r>
    </w:p>
    <w:p>
      <w:pPr>
        <w:spacing w:line="360" w:lineRule="auto"/>
        <w:ind w:firstLine="480" w:firstLineChars="200"/>
        <w:rPr>
          <w:rFonts w:hint="eastAsia" w:ascii="仿宋" w:hAnsi="仿宋" w:eastAsia="仿宋"/>
          <w:sz w:val="24"/>
        </w:rPr>
      </w:pPr>
      <w:r>
        <w:rPr>
          <w:rFonts w:hint="eastAsia" w:eastAsia="仿宋_GB2312"/>
          <w:sz w:val="24"/>
          <w:lang w:val="en-US" w:eastAsia="zh-CN"/>
        </w:rPr>
        <w:t>2.7前3年无重大违法记录，通过年检，信用状况良好，未被列入经营异常名录或者严重违法企业名单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0"/>
        <w:rPr>
          <w:rFonts w:hint="eastAsia" w:ascii="仿宋" w:hAnsi="仿宋" w:eastAsia="仿宋"/>
          <w:sz w:val="24"/>
        </w:rPr>
      </w:pPr>
      <w:r>
        <w:rPr>
          <w:rFonts w:hint="eastAsia" w:ascii="仿宋" w:hAnsi="仿宋" w:eastAsia="仿宋"/>
          <w:sz w:val="24"/>
        </w:rPr>
        <w:t>有关此次</w:t>
      </w:r>
      <w:r>
        <w:rPr>
          <w:rFonts w:hint="eastAsia" w:ascii="仿宋" w:hAnsi="仿宋" w:eastAsia="仿宋"/>
          <w:sz w:val="24"/>
          <w:lang w:val="en-US" w:eastAsia="zh-CN"/>
        </w:rPr>
        <w:t>公开招标</w:t>
      </w:r>
      <w:r>
        <w:rPr>
          <w:rFonts w:hint="eastAsia" w:ascii="仿宋" w:hAnsi="仿宋" w:eastAsia="仿宋"/>
          <w:sz w:val="24"/>
        </w:rPr>
        <w:t>事宜，可按下列地址以书面或传真或电邮形式向代理人进行查询。</w:t>
      </w:r>
    </w:p>
    <w:p>
      <w:pPr>
        <w:spacing w:line="360" w:lineRule="auto"/>
        <w:jc w:val="left"/>
        <w:rPr>
          <w:rFonts w:hint="eastAsia" w:ascii="仿宋" w:hAnsi="仿宋" w:eastAsia="仿宋"/>
          <w:sz w:val="24"/>
        </w:rPr>
      </w:pPr>
      <w:r>
        <w:rPr>
          <w:rFonts w:hint="eastAsia" w:ascii="仿宋" w:hAnsi="仿宋" w:eastAsia="仿宋"/>
          <w:sz w:val="24"/>
        </w:rPr>
        <w:t xml:space="preserve">  </w:t>
      </w:r>
      <w:r>
        <w:rPr>
          <w:rFonts w:hint="eastAsia" w:ascii="仿宋" w:hAnsi="仿宋" w:eastAsia="仿宋"/>
          <w:sz w:val="24"/>
          <w:lang w:val="en-US" w:eastAsia="zh-CN"/>
        </w:rPr>
        <w:t xml:space="preserve">  </w:t>
      </w:r>
      <w:r>
        <w:rPr>
          <w:rFonts w:hint="eastAsia" w:ascii="仿宋" w:hAnsi="仿宋" w:eastAsia="仿宋"/>
          <w:sz w:val="24"/>
        </w:rPr>
        <w:t>招标代理人：</w:t>
      </w:r>
      <w:r>
        <w:rPr>
          <w:rFonts w:hint="eastAsia" w:ascii="仿宋" w:hAnsi="仿宋" w:eastAsia="仿宋"/>
          <w:sz w:val="24"/>
          <w:lang w:val="en-US" w:eastAsia="zh-CN"/>
        </w:rPr>
        <w:t>上海市阳光善行公益事务中心</w:t>
      </w:r>
    </w:p>
    <w:p>
      <w:pPr>
        <w:spacing w:line="360" w:lineRule="auto"/>
        <w:ind w:firstLine="480" w:firstLineChars="200"/>
        <w:jc w:val="left"/>
        <w:rPr>
          <w:rFonts w:hint="eastAsia" w:ascii="仿宋" w:hAnsi="仿宋" w:eastAsia="仿宋"/>
          <w:sz w:val="24"/>
          <w:lang w:val="en-US"/>
        </w:rPr>
      </w:pPr>
      <w:r>
        <w:rPr>
          <w:rFonts w:hint="eastAsia" w:ascii="仿宋" w:hAnsi="仿宋" w:eastAsia="仿宋"/>
          <w:sz w:val="24"/>
        </w:rPr>
        <w:t>地址：</w:t>
      </w:r>
      <w:r>
        <w:rPr>
          <w:rFonts w:hint="eastAsia" w:eastAsia="仿宋_GB2312"/>
          <w:sz w:val="24"/>
        </w:rPr>
        <w:t>瞿溪路75</w:t>
      </w:r>
      <w:r>
        <w:rPr>
          <w:rFonts w:hint="eastAsia" w:eastAsia="仿宋_GB2312"/>
          <w:sz w:val="24"/>
          <w:lang w:val="en-US" w:eastAsia="zh-CN"/>
        </w:rPr>
        <w:t>8号3号楼206室</w:t>
      </w:r>
    </w:p>
    <w:p>
      <w:pPr>
        <w:spacing w:line="360" w:lineRule="auto"/>
        <w:ind w:firstLine="480" w:firstLineChars="200"/>
        <w:jc w:val="left"/>
        <w:rPr>
          <w:rFonts w:hint="eastAsia" w:ascii="仿宋" w:hAnsi="仿宋" w:eastAsia="仿宋"/>
          <w:sz w:val="24"/>
        </w:rPr>
      </w:pPr>
      <w:r>
        <w:rPr>
          <w:rFonts w:hint="eastAsia" w:ascii="仿宋" w:hAnsi="仿宋" w:eastAsia="仿宋"/>
          <w:sz w:val="24"/>
        </w:rPr>
        <w:t>电话</w:t>
      </w:r>
      <w:bookmarkStart w:id="5" w:name="中心联系电话1"/>
      <w:bookmarkEnd w:id="5"/>
      <w:r>
        <w:rPr>
          <w:rFonts w:hint="eastAsia" w:ascii="仿宋" w:hAnsi="仿宋" w:eastAsia="仿宋"/>
          <w:sz w:val="24"/>
        </w:rPr>
        <w:t>:</w:t>
      </w:r>
      <w:r>
        <w:rPr>
          <w:rFonts w:hint="eastAsia" w:ascii="仿宋" w:hAnsi="仿宋" w:eastAsia="仿宋"/>
          <w:sz w:val="24"/>
          <w:lang w:val="en-US" w:eastAsia="zh-CN"/>
        </w:rPr>
        <w:t>63025512-3399</w:t>
      </w:r>
    </w:p>
    <w:p>
      <w:pPr>
        <w:spacing w:line="360" w:lineRule="auto"/>
        <w:ind w:firstLine="480" w:firstLineChars="200"/>
        <w:jc w:val="left"/>
        <w:rPr>
          <w:rFonts w:hint="eastAsia" w:ascii="仿宋" w:hAnsi="仿宋" w:eastAsia="仿宋" w:cs="宋体"/>
          <w:sz w:val="24"/>
        </w:rPr>
      </w:pPr>
      <w:r>
        <w:rPr>
          <w:rFonts w:ascii="仿宋" w:hAnsi="仿宋" w:eastAsia="仿宋"/>
          <w:sz w:val="24"/>
        </w:rPr>
        <w:t>E-Mail</w:t>
      </w:r>
      <w:r>
        <w:rPr>
          <w:rFonts w:hint="eastAsia" w:ascii="仿宋" w:hAnsi="仿宋" w:eastAsia="仿宋"/>
          <w:sz w:val="24"/>
          <w:lang w:eastAsia="zh-CN"/>
        </w:rPr>
        <w:t>：</w:t>
      </w:r>
      <w:r>
        <w:rPr>
          <w:rFonts w:hint="eastAsia" w:ascii="仿宋" w:hAnsi="仿宋" w:eastAsia="仿宋"/>
          <w:sz w:val="24"/>
        </w:rPr>
        <w:t>ygsx20140901@126.com</w:t>
      </w:r>
    </w:p>
    <w:p>
      <w:pPr>
        <w:spacing w:line="360" w:lineRule="auto"/>
        <w:ind w:left="6223" w:hanging="6223" w:hangingChars="2583"/>
        <w:jc w:val="left"/>
        <w:rPr>
          <w:rFonts w:ascii="宋体"/>
          <w:b/>
          <w:sz w:val="24"/>
        </w:rPr>
      </w:pPr>
    </w:p>
    <w:p>
      <w:pPr>
        <w:spacing w:line="360" w:lineRule="auto"/>
        <w:ind w:left="6223" w:hanging="6223" w:hangingChars="2583"/>
        <w:jc w:val="left"/>
        <w:rPr>
          <w:rFonts w:ascii="宋体"/>
          <w:b/>
          <w:sz w:val="24"/>
        </w:rPr>
      </w:pPr>
    </w:p>
    <w:p>
      <w:pPr>
        <w:spacing w:line="360" w:lineRule="auto"/>
        <w:jc w:val="center"/>
        <w:rPr>
          <w:rFonts w:ascii="华文中宋" w:hAnsi="华文中宋" w:eastAsia="华文中宋"/>
          <w:b w:val="0"/>
          <w:bCs/>
          <w:sz w:val="32"/>
        </w:rPr>
      </w:pPr>
      <w:r>
        <w:rPr>
          <w:rFonts w:hint="eastAsia" w:ascii="华文中宋" w:hAnsi="华文中宋" w:eastAsia="华文中宋"/>
          <w:b w:val="0"/>
          <w:bCs/>
          <w:sz w:val="32"/>
        </w:rPr>
        <w:t>第二章  评分指标说明</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评分方法和评分指标：公益招投标的评分方法采用百分制计分法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其中，“一、书面初审；二、组织能力；三、实施方案；四、管理方案”总分值为90分，由评标委员会成员以记名方式独立打分，以每一评委所给分数的简单算术平均数作为投标人该指标的实际得分；“五、投标报价”分值为10分，由招标代理方工作人员根据规定直接计分，并在评审结束后报请评标委员会审核确认。最终得分即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基准价为所有有效投标报价的算术平均值；投标报价为投标人向招标人提交的正式报价，《开标一览表》、《投标函》与《项目预算表》报价不一致时，以《开标一览表》中的投标报价为准。</w:t>
      </w:r>
    </w:p>
    <w:p>
      <w:pPr>
        <w:pStyle w:val="4"/>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9"/>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*《开标一览表》中的投标报价高于项目最高限价</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*投标文件章节严重缺失不完整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*相关资格证明文件不能提供或不具备投标资格</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*投标方案未实质性响应招标文件“服务要求”</w:t>
            </w:r>
          </w:p>
          <w:p>
            <w:pPr>
              <w:adjustRightInd w:val="0"/>
              <w:snapToGrid w:val="0"/>
              <w:spacing w:line="360" w:lineRule="auto"/>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一、</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1、准确性和完整性</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*投标人名称前后不一致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*投标报价前后不一致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*《投标函》和《开标一览表》应填部分填写错误或缺失</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*未按要求签字盖章</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*预算明细总和与总价不一致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*实施方案细目应附预算缺失或与《项目预算表》不一致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adjustRightInd w:val="0"/>
              <w:snapToGrid w:val="0"/>
              <w:spacing w:line="360" w:lineRule="auto"/>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二、</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组织能力</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2、组织资质</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（3）</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3、专业优势</w:t>
            </w:r>
          </w:p>
          <w:p>
            <w:pPr>
              <w:adjustRightInd w:val="0"/>
              <w:snapToGrid w:val="0"/>
              <w:spacing w:line="360" w:lineRule="auto"/>
              <w:jc w:val="center"/>
              <w:rPr>
                <w:rFonts w:hint="eastAsia" w:ascii="仿宋" w:hAnsi="仿宋" w:eastAsia="仿宋" w:cs="仿宋"/>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4、项目经验</w:t>
            </w:r>
          </w:p>
          <w:p>
            <w:pPr>
              <w:adjustRightInd w:val="0"/>
              <w:snapToGrid w:val="0"/>
              <w:spacing w:line="360" w:lineRule="auto"/>
              <w:jc w:val="center"/>
              <w:rPr>
                <w:rFonts w:hint="eastAsia" w:ascii="仿宋" w:hAnsi="仿宋" w:eastAsia="仿宋" w:cs="仿宋"/>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三、</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实施方案</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（46）</w:t>
            </w:r>
          </w:p>
        </w:tc>
        <w:tc>
          <w:tcPr>
            <w:tcW w:w="106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实施计划子项目（活动）描述</w:t>
            </w:r>
          </w:p>
          <w:p>
            <w:pPr>
              <w:adjustRightInd w:val="0"/>
              <w:snapToGrid w:val="0"/>
              <w:spacing w:line="360" w:lineRule="auto"/>
              <w:jc w:val="center"/>
              <w:rPr>
                <w:rFonts w:hint="eastAsia" w:ascii="仿宋" w:hAnsi="仿宋" w:eastAsia="仿宋" w:cs="仿宋"/>
                <w:b/>
                <w:sz w:val="24"/>
              </w:rPr>
            </w:pP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（24）</w:t>
            </w:r>
          </w:p>
          <w:p>
            <w:pPr>
              <w:adjustRightInd w:val="0"/>
              <w:snapToGrid w:val="0"/>
              <w:spacing w:line="360" w:lineRule="auto"/>
              <w:rPr>
                <w:rFonts w:hint="eastAsia" w:ascii="仿宋" w:hAnsi="仿宋" w:eastAsia="仿宋" w:cs="仿宋"/>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5、实施内容</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6、基本要素</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7、服务频次（2）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受益人群与人数</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9、人员配置</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 w:hAnsi="仿宋" w:eastAsia="仿宋" w:cs="仿宋"/>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10、资源配置</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 w:hAnsi="仿宋" w:eastAsia="仿宋" w:cs="仿宋"/>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11、预算编制</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2"/>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设计合理性</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2"/>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操作可行性</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14、评估指标</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3"/>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可持续性</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四、</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管理方案</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（24）</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16、项目组人员管理</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4"/>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质量管理</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4"/>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档案管理</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4"/>
              </w:num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公关管理</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20、风险管理</w:t>
            </w:r>
          </w:p>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auto"/>
              <w:jc w:val="center"/>
              <w:textAlignment w:val="baseline"/>
              <w:rPr>
                <w:rFonts w:hint="eastAsia" w:ascii="仿宋" w:hAnsi="仿宋" w:eastAsia="仿宋" w:cs="仿宋"/>
                <w:b/>
                <w:sz w:val="24"/>
              </w:rPr>
            </w:pPr>
            <w:r>
              <w:rPr>
                <w:rFonts w:hint="eastAsia" w:ascii="仿宋" w:hAnsi="仿宋" w:eastAsia="仿宋" w:cs="仿宋"/>
                <w:b/>
                <w:sz w:val="24"/>
              </w:rPr>
              <w:t>五、</w:t>
            </w:r>
          </w:p>
          <w:p>
            <w:pPr>
              <w:snapToGrid w:val="0"/>
              <w:spacing w:line="360" w:lineRule="auto"/>
              <w:jc w:val="center"/>
              <w:textAlignment w:val="baseline"/>
              <w:rPr>
                <w:rFonts w:ascii="仿宋" w:hAnsi="仿宋" w:eastAsia="仿宋"/>
                <w:sz w:val="24"/>
              </w:rPr>
            </w:pPr>
            <w:r>
              <w:rPr>
                <w:rFonts w:hint="eastAsia" w:ascii="仿宋" w:hAnsi="仿宋" w:eastAsia="仿宋" w:cs="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仿宋" w:hAnsi="仿宋" w:eastAsia="仿宋" w:cs="仿宋"/>
                <w:b/>
                <w:sz w:val="24"/>
              </w:rPr>
            </w:pPr>
            <w:r>
              <w:rPr>
                <w:rFonts w:hint="eastAsia" w:ascii="仿宋" w:hAnsi="仿宋" w:eastAsia="仿宋" w:cs="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eastAsia="仿宋_GB2312"/>
          <w:sz w:val="24"/>
        </w:rPr>
      </w:pPr>
      <w:r>
        <w:rPr>
          <w:rFonts w:ascii="Times New Roman" w:eastAsia="仿宋_GB2312"/>
          <w:sz w:val="24"/>
        </w:rPr>
        <w:t>投标人排名方法：在用百分制计分法计算出各投标文件的最终得分后，评审委员按投标文件得分高低顺序排出名次，排名第一且得分不低于</w:t>
      </w:r>
      <w:r>
        <w:rPr>
          <w:rFonts w:hint="default" w:ascii="Times New Roman" w:eastAsia="仿宋_GB2312"/>
          <w:sz w:val="24"/>
        </w:rPr>
        <w:t>60</w:t>
      </w:r>
      <w:r>
        <w:rPr>
          <w:rFonts w:ascii="Times New Roman" w:eastAsia="仿宋_GB2312"/>
          <w:sz w:val="24"/>
        </w:rPr>
        <w:t>分的投标人为中标候选人。如果有</w:t>
      </w:r>
      <w:r>
        <w:rPr>
          <w:rFonts w:hint="default" w:ascii="Times New Roman" w:eastAsia="仿宋_GB2312"/>
          <w:sz w:val="24"/>
        </w:rPr>
        <w:t>2</w:t>
      </w:r>
      <w:r>
        <w:rPr>
          <w:rFonts w:ascii="Times New Roman" w:eastAsia="仿宋_GB2312"/>
          <w:sz w:val="24"/>
        </w:rPr>
        <w:t>位或</w:t>
      </w:r>
      <w:r>
        <w:rPr>
          <w:rFonts w:hint="default" w:ascii="Times New Roman" w:eastAsia="仿宋_GB2312"/>
          <w:sz w:val="24"/>
        </w:rPr>
        <w:t>2</w:t>
      </w:r>
      <w:r>
        <w:rPr>
          <w:rFonts w:ascii="Times New Roman" w:eastAsia="仿宋_GB2312"/>
          <w:sz w:val="24"/>
        </w:rPr>
        <w:t>位以上的投标文件分数相同，则投标报价低者居前；如果报价仍然相同，则由评审委员会无记名投票确定相同者的排名。</w:t>
      </w:r>
    </w:p>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eastAsia="仿宋_GB2312"/>
          <w:sz w:val="24"/>
        </w:rPr>
      </w:pPr>
      <w:r>
        <w:rPr>
          <w:rFonts w:ascii="Times New Roman" w:eastAsia="仿宋_GB2312"/>
          <w:sz w:val="24"/>
        </w:rPr>
        <w:t>中标候选人推荐要求：投标文件的最终得分最高且不低于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eastAsia="仿宋_GB2312"/>
          <w:sz w:val="24"/>
        </w:rPr>
      </w:pPr>
      <w:r>
        <w:rPr>
          <w:rFonts w:ascii="Times New Roman" w:eastAsia="仿宋_GB2312"/>
          <w:sz w:val="24"/>
        </w:rPr>
        <w:t>实施进度：符合招标文件要求。</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Times New Roman" w:eastAsia="仿宋_GB2312"/>
          <w:sz w:val="24"/>
        </w:rPr>
      </w:pPr>
      <w:r>
        <w:rPr>
          <w:rFonts w:ascii="Times New Roman" w:eastAsia="仿宋_GB2312"/>
          <w:sz w:val="24"/>
        </w:rPr>
        <w:t>招标文件的澄清：任何要求对招标文件进行澄清的投标人，均应在投标截止期3日以前，按“第一章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华文中宋" w:hAnsi="华文中宋" w:eastAsia="华文中宋" w:cs="华文中宋"/>
          <w:b/>
          <w:bCs/>
          <w:sz w:val="30"/>
          <w:szCs w:val="30"/>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ascii="Times New Roman" w:eastAsia="仿宋_GB2312"/>
          <w:sz w:val="24"/>
        </w:rPr>
        <w:t>招标文件的修改：</w:t>
      </w:r>
      <w:r>
        <w:rPr>
          <w:rFonts w:hint="eastAsia" w:eastAsia="仿宋_GB2312"/>
          <w:sz w:val="24"/>
        </w:rPr>
        <w:t>在投标截止期前的任何时候，无论出于何种原因，招标代理人可主动或在解答投标人提出的澄清问题时对招标文件进行修改。</w:t>
      </w:r>
    </w:p>
    <w:p>
      <w:pPr>
        <w:spacing w:line="360" w:lineRule="auto"/>
        <w:jc w:val="center"/>
        <w:rPr>
          <w:rFonts w:hint="eastAsia" w:ascii="华文中宋" w:hAnsi="华文中宋" w:eastAsia="华文中宋" w:cs="华文中宋"/>
          <w:b w:val="0"/>
          <w:bCs w:val="0"/>
          <w:sz w:val="32"/>
          <w:szCs w:val="32"/>
        </w:rPr>
      </w:pPr>
      <w:r>
        <w:rPr>
          <w:rFonts w:hint="eastAsia" w:ascii="华文中宋" w:hAnsi="华文中宋" w:eastAsia="华文中宋" w:cs="华文中宋"/>
          <w:b w:val="0"/>
          <w:bCs w:val="0"/>
          <w:sz w:val="32"/>
          <w:szCs w:val="32"/>
        </w:rPr>
        <w:t>第</w:t>
      </w:r>
      <w:r>
        <w:rPr>
          <w:rFonts w:hint="eastAsia" w:ascii="华文中宋" w:hAnsi="华文中宋" w:eastAsia="华文中宋" w:cs="华文中宋"/>
          <w:b w:val="0"/>
          <w:bCs w:val="0"/>
          <w:sz w:val="32"/>
          <w:szCs w:val="32"/>
          <w:lang w:val="en-US" w:eastAsia="zh-CN"/>
        </w:rPr>
        <w:t>三</w:t>
      </w:r>
      <w:r>
        <w:rPr>
          <w:rFonts w:hint="eastAsia" w:ascii="华文中宋" w:hAnsi="华文中宋" w:eastAsia="华文中宋" w:cs="华文中宋"/>
          <w:b w:val="0"/>
          <w:bCs w:val="0"/>
          <w:sz w:val="32"/>
          <w:szCs w:val="32"/>
        </w:rPr>
        <w:t>章 项目需求书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textAlignment w:val="auto"/>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项目背景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社区</w:t>
      </w:r>
      <w:r>
        <w:rPr>
          <w:rFonts w:hint="eastAsia" w:ascii="仿宋" w:hAnsi="仿宋" w:eastAsia="仿宋" w:cs="仿宋"/>
          <w:b/>
          <w:sz w:val="24"/>
          <w:szCs w:val="24"/>
        </w:rPr>
        <w:t>背景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6.6万余人，实有人口8.1万余人，19个居委会，1100余个居民小组。</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服务对象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sz w:val="24"/>
          <w:lang w:val="en-US" w:eastAsia="zh-CN"/>
        </w:rPr>
      </w:pPr>
      <w:r>
        <w:rPr>
          <w:rFonts w:hint="eastAsia" w:ascii="仿宋" w:hAnsi="仿宋" w:eastAsia="仿宋"/>
          <w:sz w:val="24"/>
        </w:rPr>
        <w:t>五里桥辖区</w:t>
      </w:r>
      <w:r>
        <w:rPr>
          <w:rFonts w:hint="eastAsia" w:ascii="仿宋" w:hAnsi="仿宋" w:eastAsia="仿宋"/>
          <w:sz w:val="24"/>
          <w:lang w:val="en-US" w:eastAsia="zh-CN"/>
        </w:rPr>
        <w:t>社会组织、群众公益团队</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立项依据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根据2018年数据统计，五里桥辖区内共有社会组织80家，社区四大类社会组织41家，其中1家基金会、8家社会团体和32家民办非企业。随着市委“1+6”文件发布以来，社会组织在社区治理中扮演着越来越重要的角色，逐渐成为推动社会治理的主力军之一。这对街道如何加强规范管理社会组织，社会组织又如何加大自身建设提出了考验。五里桥街道以《五里桥街道关于提升社会组织发展能级的实施细则》发布为契机，进一步推进社会组织自身建设，规范群众志愿团队运作，优化街道公益环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textAlignment w:val="auto"/>
        <w:rPr>
          <w:rFonts w:hint="eastAsia"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一</w:t>
      </w:r>
      <w:r>
        <w:rPr>
          <w:rFonts w:hint="eastAsia" w:ascii="仿宋" w:hAnsi="仿宋" w:eastAsia="仿宋" w:cs="仿宋"/>
          <w:b/>
          <w:bCs/>
          <w:sz w:val="24"/>
          <w:szCs w:val="24"/>
          <w:lang w:eastAsia="zh-CN"/>
        </w:rPr>
        <w:t>）</w:t>
      </w:r>
      <w:r>
        <w:rPr>
          <w:rFonts w:hint="eastAsia" w:ascii="仿宋" w:hAnsi="仿宋" w:eastAsia="仿宋" w:cs="仿宋"/>
          <w:b/>
          <w:bCs/>
          <w:sz w:val="24"/>
          <w:szCs w:val="24"/>
        </w:rPr>
        <w:t>服务内容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 xml:space="preserve">1.1 </w:t>
      </w:r>
      <w:r>
        <w:rPr>
          <w:rFonts w:hint="eastAsia" w:ascii="仿宋" w:hAnsi="仿宋" w:eastAsia="仿宋" w:cs="仿宋"/>
          <w:sz w:val="24"/>
          <w:szCs w:val="24"/>
          <w:lang w:val="en-US" w:eastAsia="zh-CN"/>
        </w:rPr>
        <w:t>排摸辖区内80家社会组织基本情况（包括法人、办公场所、联系方式、业务范围等）、项目承接、党建等内容并形成记录表单</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rPr>
        <w:t>1.2</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针对</w:t>
      </w:r>
      <w:r>
        <w:rPr>
          <w:rFonts w:hint="eastAsia" w:ascii="仿宋" w:hAnsi="仿宋" w:eastAsia="仿宋" w:cs="仿宋"/>
          <w:sz w:val="24"/>
          <w:szCs w:val="24"/>
          <w:lang w:val="en-US" w:eastAsia="zh-CN"/>
        </w:rPr>
        <w:t>社区四大类社会组织邀请专家开展社会组织规范化建设专题培训2次，服务人数不少于20人次。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1.3</w:t>
      </w:r>
      <w:r>
        <w:rPr>
          <w:rFonts w:hint="eastAsia" w:ascii="仿宋" w:hAnsi="仿宋" w:eastAsia="仿宋" w:cs="仿宋"/>
          <w:sz w:val="24"/>
          <w:szCs w:val="24"/>
          <w:lang w:val="en-US" w:eastAsia="zh-CN"/>
        </w:rPr>
        <w:t xml:space="preserve"> 针对社区群众活动团队组织建档，及时将信息录入上海市社会组织综合管理服务信息平台，并根据实际情况更新。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4针对预警网络信息员开展专题培训不少于2次，传达预警网络政策、进行预警知识培训不少于1次，服务人数不少于30人次。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针对社会组织、自治团队、社区居民、企业等结合上海市公益伙伴月主题开展五里桥街道公益伙伴日，活动以系列子活动为主要载体，主要包括：社会组织公益服务展示、社区企业、家庭公益义卖、自治微创投项目展示等内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二</w:t>
      </w:r>
      <w:r>
        <w:rPr>
          <w:rFonts w:hint="eastAsia" w:ascii="仿宋" w:hAnsi="仿宋" w:eastAsia="仿宋" w:cs="仿宋"/>
          <w:b/>
          <w:bCs/>
          <w:sz w:val="24"/>
          <w:szCs w:val="24"/>
          <w:lang w:eastAsia="zh-CN"/>
        </w:rPr>
        <w:t>）、组织实施和风险控制要求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 xml:space="preserve">2.1 </w:t>
      </w:r>
      <w:r>
        <w:rPr>
          <w:rFonts w:hint="eastAsia" w:ascii="仿宋" w:hAnsi="仿宋" w:eastAsia="仿宋" w:cs="仿宋"/>
          <w:sz w:val="24"/>
          <w:szCs w:val="24"/>
          <w:lang w:val="en-US" w:eastAsia="zh-CN"/>
        </w:rPr>
        <w:t>投标人</w:t>
      </w:r>
      <w:r>
        <w:rPr>
          <w:rFonts w:hint="eastAsia" w:ascii="仿宋" w:hAnsi="仿宋" w:eastAsia="仿宋" w:cs="仿宋"/>
          <w:sz w:val="24"/>
          <w:szCs w:val="24"/>
        </w:rPr>
        <w:t>提供项目实施方案能有序进行，能够合理安排、调整各项活动的实施，并且定期做好项目的评估与优化工作</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 xml:space="preserve"> 投标人</w:t>
      </w:r>
      <w:r>
        <w:rPr>
          <w:rFonts w:hint="eastAsia" w:ascii="仿宋" w:hAnsi="仿宋" w:eastAsia="仿宋" w:cs="仿宋"/>
          <w:sz w:val="24"/>
          <w:szCs w:val="24"/>
        </w:rPr>
        <w:t>须提出可行的项目活动计划表</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 xml:space="preserve"> 投标人</w:t>
      </w:r>
      <w:r>
        <w:rPr>
          <w:rFonts w:hint="eastAsia" w:ascii="仿宋" w:hAnsi="仿宋" w:eastAsia="仿宋" w:cs="仿宋"/>
          <w:sz w:val="24"/>
          <w:szCs w:val="24"/>
        </w:rPr>
        <w:t>须做好服务对象满意度评估，及时反馈信息，改进服务质量</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项目实施过程中</w:t>
      </w:r>
      <w:r>
        <w:rPr>
          <w:rFonts w:hint="eastAsia" w:ascii="仿宋" w:hAnsi="仿宋" w:eastAsia="仿宋" w:cs="仿宋"/>
          <w:sz w:val="24"/>
          <w:szCs w:val="24"/>
          <w:lang w:eastAsia="zh-CN"/>
        </w:rPr>
        <w:t>，</w:t>
      </w:r>
      <w:r>
        <w:rPr>
          <w:rFonts w:hint="eastAsia" w:ascii="仿宋" w:hAnsi="仿宋" w:eastAsia="仿宋" w:cs="仿宋"/>
          <w:sz w:val="24"/>
          <w:szCs w:val="24"/>
        </w:rPr>
        <w:t>考虑</w:t>
      </w:r>
      <w:r>
        <w:rPr>
          <w:rFonts w:hint="eastAsia" w:ascii="仿宋" w:hAnsi="仿宋" w:eastAsia="仿宋" w:cs="仿宋"/>
          <w:sz w:val="24"/>
          <w:szCs w:val="24"/>
          <w:lang w:val="en-US" w:eastAsia="zh-CN"/>
        </w:rPr>
        <w:t>社会组织</w:t>
      </w:r>
      <w:r>
        <w:rPr>
          <w:rFonts w:hint="eastAsia" w:ascii="仿宋" w:hAnsi="仿宋" w:eastAsia="仿宋" w:cs="仿宋"/>
          <w:sz w:val="24"/>
          <w:szCs w:val="24"/>
        </w:rPr>
        <w:t>实际情况，预测可能出现的风险并确定应急方案。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三</w:t>
      </w:r>
      <w:r>
        <w:rPr>
          <w:rFonts w:hint="eastAsia" w:ascii="仿宋" w:hAnsi="仿宋" w:eastAsia="仿宋" w:cs="仿宋"/>
          <w:b/>
          <w:bCs/>
          <w:sz w:val="24"/>
          <w:szCs w:val="24"/>
          <w:lang w:eastAsia="zh-CN"/>
        </w:rPr>
        <w:t>）从业经验和专业能力要求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rPr>
        <w:t>3.1投标</w:t>
      </w:r>
      <w:r>
        <w:rPr>
          <w:rFonts w:hint="eastAsia" w:ascii="仿宋" w:hAnsi="仿宋" w:eastAsia="仿宋" w:cs="仿宋"/>
          <w:sz w:val="24"/>
          <w:szCs w:val="24"/>
          <w:lang w:val="en-US" w:eastAsia="zh-CN"/>
        </w:rPr>
        <w:t>人</w:t>
      </w:r>
      <w:r>
        <w:rPr>
          <w:rFonts w:hint="eastAsia" w:ascii="仿宋" w:hAnsi="仿宋" w:eastAsia="仿宋" w:cs="仿宋"/>
          <w:sz w:val="24"/>
          <w:szCs w:val="24"/>
        </w:rPr>
        <w:t>应具备相关项目的管理及是实施能力，有相关经验者优先</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w:t>
      </w:r>
      <w:r>
        <w:rPr>
          <w:rFonts w:hint="eastAsia" w:ascii="仿宋" w:hAnsi="仿宋" w:eastAsia="仿宋"/>
          <w:sz w:val="24"/>
          <w:lang w:val="en-US" w:eastAsia="zh-CN"/>
        </w:rPr>
        <w:t>投标人规范化建设评估等级达到3A级以上。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3投标人</w:t>
      </w:r>
      <w:r>
        <w:rPr>
          <w:rFonts w:hint="eastAsia" w:ascii="仿宋" w:hAnsi="仿宋" w:eastAsia="仿宋" w:cs="仿宋"/>
          <w:sz w:val="24"/>
          <w:szCs w:val="24"/>
        </w:rPr>
        <w:t>须</w:t>
      </w:r>
      <w:r>
        <w:rPr>
          <w:rFonts w:hint="eastAsia" w:ascii="仿宋" w:hAnsi="仿宋" w:eastAsia="仿宋" w:cs="仿宋"/>
          <w:sz w:val="24"/>
          <w:szCs w:val="24"/>
          <w:lang w:val="en-US" w:eastAsia="zh-CN"/>
        </w:rPr>
        <w:t>具备</w:t>
      </w:r>
      <w:r>
        <w:rPr>
          <w:rFonts w:hint="eastAsia" w:ascii="仿宋" w:hAnsi="仿宋" w:eastAsia="仿宋" w:cs="仿宋"/>
          <w:sz w:val="24"/>
          <w:szCs w:val="24"/>
        </w:rPr>
        <w:t xml:space="preserve">经验丰富项目支持性团队。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四</w:t>
      </w:r>
      <w:r>
        <w:rPr>
          <w:rFonts w:hint="eastAsia" w:ascii="仿宋" w:hAnsi="仿宋" w:eastAsia="仿宋" w:cs="仿宋"/>
          <w:b/>
          <w:bCs/>
          <w:sz w:val="24"/>
          <w:szCs w:val="24"/>
          <w:lang w:eastAsia="zh-CN"/>
        </w:rPr>
        <w:t>）项目监测要求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4.1</w:t>
      </w:r>
      <w:r>
        <w:rPr>
          <w:rFonts w:hint="eastAsia" w:ascii="仿宋" w:hAnsi="仿宋" w:eastAsia="仿宋" w:cs="仿宋"/>
          <w:sz w:val="24"/>
          <w:szCs w:val="24"/>
        </w:rPr>
        <w:t>项目执行过程中投标方须接受需求方和招标代理人的监测，</w:t>
      </w:r>
      <w:r>
        <w:rPr>
          <w:rFonts w:hint="eastAsia" w:ascii="仿宋" w:hAnsi="仿宋" w:eastAsia="仿宋" w:cs="仿宋"/>
          <w:sz w:val="24"/>
          <w:szCs w:val="24"/>
          <w:lang w:val="en-US" w:eastAsia="zh-CN"/>
        </w:rPr>
        <w:t>并</w:t>
      </w:r>
      <w:r>
        <w:rPr>
          <w:rFonts w:hint="eastAsia" w:ascii="仿宋" w:hAnsi="仿宋" w:eastAsia="仿宋" w:cs="仿宋"/>
          <w:sz w:val="24"/>
          <w:szCs w:val="24"/>
        </w:rPr>
        <w:t>接受招标方的中期评估，提供项目中期报告。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五</w:t>
      </w:r>
      <w:r>
        <w:rPr>
          <w:rFonts w:hint="eastAsia" w:ascii="仿宋" w:hAnsi="仿宋" w:eastAsia="仿宋" w:cs="仿宋"/>
          <w:b/>
          <w:bCs/>
          <w:sz w:val="24"/>
          <w:szCs w:val="24"/>
          <w:lang w:eastAsia="zh-CN"/>
        </w:rPr>
        <w:t>）项目结案要求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仿宋" w:hAnsi="仿宋" w:eastAsia="仿宋" w:cs="仿宋"/>
          <w:sz w:val="24"/>
          <w:szCs w:val="24"/>
        </w:rPr>
      </w:pPr>
      <w:r>
        <w:rPr>
          <w:rFonts w:hint="eastAsia" w:ascii="仿宋" w:hAnsi="仿宋" w:eastAsia="仿宋" w:cs="仿宋"/>
          <w:b w:val="0"/>
          <w:bCs w:val="0"/>
          <w:sz w:val="24"/>
          <w:szCs w:val="24"/>
          <w:lang w:val="en-US" w:eastAsia="zh-CN"/>
        </w:rPr>
        <w:t>5.1</w:t>
      </w:r>
      <w:r>
        <w:rPr>
          <w:rFonts w:hint="eastAsia" w:ascii="仿宋" w:hAnsi="仿宋" w:eastAsia="仿宋" w:cs="仿宋"/>
          <w:sz w:val="24"/>
          <w:szCs w:val="24"/>
        </w:rPr>
        <w:t>项目结束后投标</w:t>
      </w:r>
      <w:r>
        <w:rPr>
          <w:rFonts w:hint="eastAsia" w:ascii="仿宋" w:hAnsi="仿宋" w:eastAsia="仿宋" w:cs="仿宋"/>
          <w:sz w:val="24"/>
          <w:szCs w:val="24"/>
          <w:lang w:val="en-US" w:eastAsia="zh-CN"/>
        </w:rPr>
        <w:t>机构</w:t>
      </w:r>
      <w:r>
        <w:rPr>
          <w:rFonts w:hint="eastAsia" w:ascii="仿宋" w:hAnsi="仿宋" w:eastAsia="仿宋" w:cs="仿宋"/>
          <w:sz w:val="24"/>
          <w:szCs w:val="24"/>
        </w:rPr>
        <w:t>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六</w:t>
      </w:r>
      <w:r>
        <w:rPr>
          <w:rFonts w:hint="eastAsia" w:ascii="仿宋" w:hAnsi="仿宋" w:eastAsia="仿宋" w:cs="仿宋"/>
          <w:b/>
          <w:bCs/>
          <w:sz w:val="24"/>
          <w:szCs w:val="24"/>
          <w:lang w:eastAsia="zh-CN"/>
        </w:rPr>
        <w:t>）招标</w:t>
      </w:r>
      <w:r>
        <w:rPr>
          <w:rFonts w:hint="eastAsia" w:ascii="仿宋" w:hAnsi="仿宋" w:eastAsia="仿宋" w:cs="仿宋"/>
          <w:b/>
          <w:bCs/>
          <w:sz w:val="24"/>
          <w:szCs w:val="24"/>
          <w:lang w:val="en-US" w:eastAsia="zh-CN"/>
        </w:rPr>
        <w:t>机构</w:t>
      </w:r>
      <w:r>
        <w:rPr>
          <w:rFonts w:hint="eastAsia" w:ascii="仿宋" w:hAnsi="仿宋" w:eastAsia="仿宋" w:cs="仿宋"/>
          <w:b/>
          <w:bCs/>
          <w:sz w:val="24"/>
          <w:szCs w:val="24"/>
          <w:lang w:eastAsia="zh-CN"/>
        </w:rPr>
        <w:t>责任</w:t>
      </w:r>
      <w:bookmarkStart w:id="6" w:name="_GoBack"/>
      <w:bookmarkEnd w:id="6"/>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6.1</w:t>
      </w:r>
      <w:r>
        <w:rPr>
          <w:rFonts w:hint="eastAsia" w:ascii="仿宋" w:hAnsi="仿宋" w:eastAsia="仿宋" w:cs="仿宋"/>
          <w:sz w:val="24"/>
          <w:szCs w:val="24"/>
        </w:rPr>
        <w:t>协调落实活动场地</w:t>
      </w:r>
      <w:r>
        <w:rPr>
          <w:rFonts w:hint="eastAsia" w:ascii="仿宋" w:hAnsi="仿宋" w:eastAsia="仿宋" w:cs="仿宋"/>
          <w:sz w:val="24"/>
          <w:szCs w:val="24"/>
          <w:lang w:eastAsia="zh-CN"/>
        </w:rPr>
        <w:t>，</w:t>
      </w:r>
      <w:r>
        <w:rPr>
          <w:rFonts w:hint="eastAsia" w:ascii="仿宋" w:hAnsi="仿宋" w:eastAsia="仿宋" w:cs="仿宋"/>
          <w:sz w:val="24"/>
          <w:szCs w:val="24"/>
        </w:rPr>
        <w:t>提供相关外部支持。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七</w:t>
      </w:r>
      <w:r>
        <w:rPr>
          <w:rFonts w:hint="eastAsia" w:ascii="仿宋" w:hAnsi="仿宋" w:eastAsia="仿宋" w:cs="仿宋"/>
          <w:b/>
          <w:bCs/>
          <w:sz w:val="24"/>
          <w:szCs w:val="24"/>
          <w:lang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7.1为保证招标的公平性，投标人认为上述指标存在排他性或歧视性条款，可以向招标代理人提出书面质疑并附相关证据。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7.2如无特别说明，每个项目只允许有一个报价，任何有选择的报价将不予接受。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7.3</w:t>
      </w:r>
      <w:r>
        <w:rPr>
          <w:rFonts w:hint="eastAsia" w:ascii="仿宋" w:hAnsi="仿宋" w:eastAsia="仿宋" w:cs="仿宋"/>
          <w:sz w:val="24"/>
          <w:szCs w:val="24"/>
        </w:rPr>
        <w:t>项目周期内，项目执行方需要与招标方保持联系，有重大活动提前告知招标方，并提前提交活动策划，招标方有对活动内容进行修改的权利。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7.4</w:t>
      </w:r>
      <w:r>
        <w:rPr>
          <w:rFonts w:hint="eastAsia" w:ascii="仿宋" w:hAnsi="仿宋" w:eastAsia="仿宋" w:cs="仿宋"/>
          <w:sz w:val="24"/>
          <w:szCs w:val="24"/>
        </w:rPr>
        <w:t>在项目执行过程中，项目执行方如对项目的内容进行修改，需提前告知招标方，经双方协商同意后才能进行修改。</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551503D6"/>
    <w:multiLevelType w:val="singleLevel"/>
    <w:tmpl w:val="551503D6"/>
    <w:lvl w:ilvl="0" w:tentative="0">
      <w:start w:val="1"/>
      <w:numFmt w:val="chineseCounting"/>
      <w:suff w:val="nothing"/>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11993683"/>
    <w:rsid w:val="11F164CD"/>
    <w:rsid w:val="151D19EC"/>
    <w:rsid w:val="17455A20"/>
    <w:rsid w:val="1AD733EE"/>
    <w:rsid w:val="1B02378C"/>
    <w:rsid w:val="1C526B76"/>
    <w:rsid w:val="1E3257F1"/>
    <w:rsid w:val="232F4110"/>
    <w:rsid w:val="24560396"/>
    <w:rsid w:val="288175B7"/>
    <w:rsid w:val="2C3B675D"/>
    <w:rsid w:val="318256E0"/>
    <w:rsid w:val="39407EBA"/>
    <w:rsid w:val="3AA10088"/>
    <w:rsid w:val="3FF2109C"/>
    <w:rsid w:val="4498427B"/>
    <w:rsid w:val="46740437"/>
    <w:rsid w:val="4D775D2B"/>
    <w:rsid w:val="518F6450"/>
    <w:rsid w:val="54F83842"/>
    <w:rsid w:val="55C15AD0"/>
    <w:rsid w:val="58855694"/>
    <w:rsid w:val="5C303E77"/>
    <w:rsid w:val="5D277A99"/>
    <w:rsid w:val="6017345D"/>
    <w:rsid w:val="606C0321"/>
    <w:rsid w:val="64722993"/>
    <w:rsid w:val="64DA72A7"/>
    <w:rsid w:val="753B4E6B"/>
    <w:rsid w:val="798D1035"/>
    <w:rsid w:val="7B9D6A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4">
    <w:name w:val="Body Text 2"/>
    <w:basedOn w:val="1"/>
    <w:qFormat/>
    <w:uiPriority w:val="0"/>
    <w:pPr>
      <w:spacing w:beforeLines="0" w:afterLines="0"/>
      <w:ind w:firstLine="570"/>
    </w:pPr>
    <w:rPr>
      <w:rFonts w:hint="eastAsia" w:ascii="宋体"/>
      <w:sz w:val="28"/>
    </w:rPr>
  </w:style>
  <w:style w:type="paragraph" w:styleId="5">
    <w:name w:val="Normal (Web)"/>
    <w:basedOn w:val="1"/>
    <w:qFormat/>
    <w:uiPriority w:val="0"/>
    <w:pPr>
      <w:widowControl/>
      <w:spacing w:before="100" w:beforeLines="0" w:beforeAutospacing="1" w:after="100" w:afterLines="0" w:afterAutospacing="1"/>
      <w:jc w:val="left"/>
    </w:pPr>
    <w:rPr>
      <w:rFonts w:hint="eastAsia" w:ascii="宋体" w:hAnsi="宋体"/>
      <w:sz w:val="24"/>
    </w:rPr>
  </w:style>
  <w:style w:type="paragraph" w:styleId="6">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8">
    <w:name w:val="Strong"/>
    <w:qFormat/>
    <w:uiPriority w:val="0"/>
    <w:rPr>
      <w:rFonts w:hint="default"/>
      <w:b/>
      <w:sz w:val="24"/>
    </w:rPr>
  </w:style>
  <w:style w:type="paragraph" w:customStyle="1" w:styleId="10">
    <w:name w:val="目录样式"/>
    <w:basedOn w:val="6"/>
    <w:qFormat/>
    <w:uiPriority w:val="0"/>
    <w:rPr>
      <w:rFonts w:ascii="Arial" w:hAnsi="Arial" w:eastAsia="方正小标宋简体"/>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琪琪</cp:lastModifiedBy>
  <cp:lastPrinted>2018-04-16T04:29:00Z</cp:lastPrinted>
  <dcterms:modified xsi:type="dcterms:W3CDTF">2019-02-21T03:17:11Z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