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widowControl w:val="0"/>
        <w:tabs>
          <w:tab w:val="center" w:pos="4153"/>
          <w:tab w:val="left" w:pos="7410"/>
        </w:tabs>
        <w:snapToGrid w:val="0"/>
        <w:jc w:val="center"/>
        <w:rPr>
          <w:rFonts w:hint="default" w:ascii="华文中宋" w:hAnsi="华文中宋" w:eastAsia="华文中宋" w:cs="华文中宋"/>
          <w:b/>
          <w:bCs/>
          <w:sz w:val="32"/>
          <w:szCs w:val="36"/>
        </w:rPr>
      </w:pPr>
    </w:p>
    <w:p>
      <w:pPr>
        <w:pStyle w:val="6"/>
        <w:widowControl w:val="0"/>
        <w:tabs>
          <w:tab w:val="center" w:pos="4153"/>
          <w:tab w:val="left" w:pos="7410"/>
        </w:tabs>
        <w:snapToGrid w:val="0"/>
        <w:jc w:val="center"/>
        <w:rPr>
          <w:rFonts w:ascii="华文中宋" w:hAnsi="华文中宋" w:eastAsia="华文中宋" w:cs="华文中宋"/>
          <w:b/>
          <w:bCs/>
          <w:sz w:val="32"/>
          <w:szCs w:val="36"/>
        </w:rPr>
      </w:pPr>
    </w:p>
    <w:p>
      <w:pPr>
        <w:pStyle w:val="6"/>
        <w:widowControl w:val="0"/>
        <w:tabs>
          <w:tab w:val="center" w:pos="4153"/>
          <w:tab w:val="left" w:pos="7410"/>
        </w:tabs>
        <w:snapToGrid w:val="0"/>
        <w:jc w:val="center"/>
        <w:rPr>
          <w:rFonts w:hint="default" w:ascii="华文中宋" w:hAnsi="华文中宋" w:eastAsia="华文中宋" w:cs="华文中宋"/>
          <w:b/>
          <w:bCs/>
          <w:w w:val="95"/>
          <w:sz w:val="36"/>
          <w:szCs w:val="40"/>
        </w:rPr>
      </w:pPr>
      <w:r>
        <w:rPr>
          <w:rFonts w:ascii="华文中宋" w:hAnsi="华文中宋" w:eastAsia="华文中宋" w:cs="华文中宋"/>
          <w:b/>
          <w:bCs/>
          <w:w w:val="95"/>
          <w:sz w:val="36"/>
          <w:szCs w:val="40"/>
        </w:rPr>
        <w:t>五里桥街道“手牵手·心连心”关爱癌症患者公益项目</w:t>
      </w:r>
    </w:p>
    <w:p>
      <w:pPr>
        <w:pStyle w:val="6"/>
        <w:widowControl w:val="0"/>
        <w:tabs>
          <w:tab w:val="center" w:pos="4153"/>
          <w:tab w:val="left" w:pos="7410"/>
        </w:tabs>
        <w:snapToGrid w:val="0"/>
        <w:jc w:val="center"/>
        <w:rPr>
          <w:rFonts w:hint="default" w:ascii="华文中宋" w:hAnsi="华文中宋" w:eastAsia="华文中宋" w:cs="华文中宋"/>
          <w:sz w:val="36"/>
          <w:szCs w:val="36"/>
        </w:rPr>
      </w:pPr>
      <w:r>
        <w:rPr>
          <w:rFonts w:ascii="华文中宋" w:hAnsi="华文中宋" w:eastAsia="华文中宋" w:cs="华文中宋"/>
          <w:b/>
          <w:bCs/>
          <w:sz w:val="36"/>
          <w:szCs w:val="36"/>
        </w:rPr>
        <w:t>招标文件</w:t>
      </w:r>
    </w:p>
    <w:p>
      <w:pPr>
        <w:pStyle w:val="6"/>
        <w:widowControl w:val="0"/>
        <w:tabs>
          <w:tab w:val="center" w:pos="4153"/>
          <w:tab w:val="left" w:pos="7410"/>
        </w:tabs>
        <w:snapToGrid w:val="0"/>
        <w:jc w:val="center"/>
        <w:rPr>
          <w:rFonts w:hint="default"/>
          <w:b/>
          <w:color w:val="000000"/>
          <w:sz w:val="28"/>
        </w:rPr>
      </w:pPr>
    </w:p>
    <w:p>
      <w:pPr>
        <w:pStyle w:val="6"/>
        <w:widowControl w:val="0"/>
        <w:snapToGrid w:val="0"/>
        <w:jc w:val="center"/>
        <w:rPr>
          <w:rFonts w:ascii="黑体" w:eastAsia="黑体"/>
          <w:color w:val="000000"/>
          <w:sz w:val="30"/>
        </w:rPr>
      </w:pPr>
    </w:p>
    <w:p>
      <w:pPr>
        <w:pStyle w:val="6"/>
        <w:widowControl w:val="0"/>
        <w:snapToGrid w:val="0"/>
        <w:jc w:val="center"/>
        <w:rPr>
          <w:rFonts w:hint="default" w:ascii="黑体" w:eastAsia="黑体"/>
          <w:color w:val="000000"/>
          <w:sz w:val="30"/>
        </w:rPr>
      </w:pPr>
    </w:p>
    <w:p>
      <w:pPr>
        <w:pStyle w:val="6"/>
        <w:widowControl w:val="0"/>
        <w:snapToGrid w:val="0"/>
        <w:jc w:val="center"/>
        <w:rPr>
          <w:rFonts w:hint="default" w:ascii="黑体" w:eastAsia="黑体"/>
          <w:color w:val="000000"/>
          <w:sz w:val="30"/>
        </w:rPr>
      </w:pPr>
    </w:p>
    <w:p>
      <w:pPr>
        <w:pStyle w:val="6"/>
        <w:widowControl w:val="0"/>
        <w:snapToGrid w:val="0"/>
        <w:jc w:val="center"/>
        <w:rPr>
          <w:rFonts w:hint="default" w:ascii="黑体" w:eastAsia="黑体"/>
          <w:color w:val="000000"/>
          <w:sz w:val="30"/>
        </w:rPr>
      </w:pPr>
    </w:p>
    <w:p>
      <w:pPr>
        <w:pStyle w:val="6"/>
        <w:widowControl w:val="0"/>
        <w:snapToGrid w:val="0"/>
        <w:jc w:val="center"/>
        <w:rPr>
          <w:rFonts w:ascii="黑体" w:eastAsia="黑体"/>
          <w:color w:val="000000"/>
          <w:sz w:val="30"/>
        </w:rPr>
      </w:pPr>
    </w:p>
    <w:p>
      <w:pPr>
        <w:pStyle w:val="6"/>
        <w:widowControl w:val="0"/>
        <w:snapToGrid w:val="0"/>
        <w:rPr>
          <w:rFonts w:hint="default" w:ascii="黑体" w:eastAsia="黑体"/>
          <w:color w:val="000000"/>
          <w:sz w:val="30"/>
        </w:rPr>
      </w:pPr>
    </w:p>
    <w:p>
      <w:pPr>
        <w:pStyle w:val="6"/>
        <w:widowControl w:val="0"/>
        <w:snapToGrid w:val="0"/>
        <w:rPr>
          <w:rFonts w:hint="default" w:ascii="黑体" w:hAnsi="黑体" w:eastAsia="黑体" w:cs="黑体"/>
          <w:w w:val="95"/>
          <w:sz w:val="30"/>
        </w:rPr>
      </w:pPr>
      <w:r>
        <w:rPr>
          <w:rFonts w:ascii="黑体" w:eastAsia="黑体"/>
          <w:color w:val="000000"/>
          <w:sz w:val="30"/>
        </w:rPr>
        <w:t>项目名称</w:t>
      </w:r>
      <w:r>
        <w:rPr>
          <w:color w:val="000000"/>
          <w:sz w:val="30"/>
        </w:rPr>
        <w:t>：</w:t>
      </w:r>
      <w:bookmarkStart w:id="0" w:name="项目名称1"/>
      <w:bookmarkEnd w:id="0"/>
      <w:r>
        <w:rPr>
          <w:rFonts w:ascii="仿宋" w:hAnsi="仿宋" w:eastAsia="仿宋"/>
          <w:color w:val="000000"/>
          <w:sz w:val="30"/>
          <w:u w:val="single"/>
        </w:rPr>
        <w:t>“手牵手·心连心”关爱癌症患者公益项目</w:t>
      </w:r>
    </w:p>
    <w:p>
      <w:pPr>
        <w:pStyle w:val="6"/>
        <w:widowControl w:val="0"/>
        <w:snapToGrid w:val="0"/>
        <w:rPr>
          <w:rStyle w:val="9"/>
          <w:rFonts w:hint="eastAsia" w:ascii="黑体" w:eastAsia="黑体"/>
          <w:b w:val="0"/>
          <w:sz w:val="28"/>
        </w:rPr>
      </w:pPr>
      <w:r>
        <w:rPr>
          <w:rFonts w:ascii="黑体" w:eastAsia="黑体"/>
          <w:color w:val="000000"/>
          <w:sz w:val="30"/>
        </w:rPr>
        <w:t>招标编号：</w:t>
      </w:r>
      <w:r>
        <w:rPr>
          <w:rFonts w:hint="default" w:ascii="仿宋" w:hAnsi="仿宋" w:eastAsia="仿宋"/>
          <w:color w:val="000000"/>
          <w:sz w:val="30"/>
          <w:u w:val="single"/>
        </w:rPr>
        <w:t>HPWL</w:t>
      </w:r>
      <w:r>
        <w:rPr>
          <w:rFonts w:ascii="仿宋" w:hAnsi="仿宋" w:eastAsia="仿宋"/>
          <w:color w:val="000000"/>
          <w:sz w:val="30"/>
          <w:u w:val="single"/>
        </w:rPr>
        <w:t>2018</w:t>
      </w:r>
      <w:r>
        <w:rPr>
          <w:rFonts w:hint="eastAsia" w:ascii="仿宋" w:hAnsi="仿宋" w:eastAsia="仿宋"/>
          <w:color w:val="000000"/>
          <w:sz w:val="30"/>
          <w:u w:val="single"/>
          <w:lang w:val="en-US" w:eastAsia="zh-CN"/>
        </w:rPr>
        <w:t>04</w:t>
      </w:r>
      <w:r>
        <w:rPr>
          <w:rFonts w:hint="default" w:ascii="仿宋" w:hAnsi="仿宋" w:eastAsia="仿宋"/>
          <w:sz w:val="30"/>
          <w:szCs w:val="30"/>
          <w:u w:val="single"/>
        </w:rPr>
        <w:t xml:space="preserve">                         </w:t>
      </w:r>
      <w:r>
        <w:rPr>
          <w:rFonts w:hint="eastAsia" w:ascii="仿宋" w:hAnsi="仿宋" w:eastAsia="仿宋"/>
          <w:sz w:val="30"/>
          <w:szCs w:val="30"/>
          <w:u w:val="single"/>
          <w:lang w:val="en-US" w:eastAsia="zh-CN"/>
        </w:rPr>
        <w:t xml:space="preserve"> </w:t>
      </w:r>
      <w:r>
        <w:rPr>
          <w:rFonts w:hint="default" w:ascii="仿宋" w:hAnsi="仿宋" w:eastAsia="仿宋"/>
          <w:sz w:val="30"/>
          <w:szCs w:val="30"/>
          <w:u w:val="single"/>
        </w:rPr>
        <w:t xml:space="preserve"> </w:t>
      </w:r>
    </w:p>
    <w:p>
      <w:pPr>
        <w:pStyle w:val="6"/>
        <w:widowControl w:val="0"/>
        <w:snapToGrid w:val="0"/>
        <w:rPr>
          <w:rFonts w:hint="default" w:ascii="仿宋" w:hAnsi="仿宋" w:eastAsia="仿宋"/>
          <w:sz w:val="30"/>
          <w:szCs w:val="30"/>
          <w:u w:val="single"/>
        </w:rPr>
      </w:pPr>
      <w:r>
        <w:rPr>
          <w:rFonts w:ascii="黑体" w:eastAsia="黑体"/>
          <w:color w:val="000000"/>
          <w:sz w:val="30"/>
        </w:rPr>
        <w:t>招标单位：</w:t>
      </w:r>
      <w:r>
        <w:rPr>
          <w:rStyle w:val="9"/>
          <w:rFonts w:hint="eastAsia" w:ascii="仿宋" w:hAnsi="仿宋" w:eastAsia="仿宋"/>
          <w:b w:val="0"/>
          <w:sz w:val="30"/>
          <w:szCs w:val="30"/>
          <w:u w:val="single"/>
        </w:rPr>
        <w:t xml:space="preserve">上海市黄浦区五里桥街道办事处         </w:t>
      </w:r>
    </w:p>
    <w:p>
      <w:pPr>
        <w:pStyle w:val="6"/>
        <w:widowControl w:val="0"/>
        <w:snapToGrid w:val="0"/>
        <w:rPr>
          <w:rStyle w:val="9"/>
          <w:rFonts w:hint="eastAsia" w:ascii="仿宋" w:hAnsi="仿宋" w:eastAsia="仿宋"/>
          <w:b w:val="0"/>
          <w:sz w:val="30"/>
          <w:szCs w:val="30"/>
          <w:u w:val="single"/>
        </w:rPr>
      </w:pPr>
      <w:r>
        <w:rPr>
          <w:rFonts w:ascii="黑体" w:eastAsia="黑体"/>
          <w:color w:val="000000"/>
          <w:sz w:val="30"/>
        </w:rPr>
        <w:t>招标代理：</w:t>
      </w:r>
      <w:r>
        <w:rPr>
          <w:rStyle w:val="9"/>
          <w:rFonts w:hint="eastAsia" w:ascii="仿宋" w:hAnsi="仿宋" w:eastAsia="仿宋"/>
          <w:b w:val="0"/>
          <w:sz w:val="30"/>
          <w:szCs w:val="30"/>
          <w:u w:val="single"/>
          <w:lang w:val="en-US" w:eastAsia="zh-CN"/>
        </w:rPr>
        <w:t>上海黄浦区五里桥社区社会组织服务中心</w:t>
      </w:r>
    </w:p>
    <w:p>
      <w:pPr>
        <w:pStyle w:val="6"/>
        <w:widowControl w:val="0"/>
        <w:snapToGrid w:val="0"/>
        <w:jc w:val="center"/>
        <w:rPr>
          <w:rStyle w:val="9"/>
          <w:rFonts w:hint="eastAsia" w:ascii="黑体" w:eastAsia="黑体"/>
          <w:b w:val="0"/>
          <w:color w:val="000000"/>
          <w:sz w:val="28"/>
        </w:rPr>
      </w:pPr>
      <w:bookmarkStart w:id="1" w:name="招标日期"/>
      <w:bookmarkEnd w:id="1"/>
    </w:p>
    <w:p>
      <w:pPr>
        <w:pStyle w:val="6"/>
        <w:widowControl w:val="0"/>
        <w:snapToGrid w:val="0"/>
        <w:jc w:val="center"/>
        <w:rPr>
          <w:rStyle w:val="9"/>
          <w:rFonts w:hint="eastAsia" w:ascii="黑体" w:eastAsia="黑体"/>
          <w:b w:val="0"/>
          <w:color w:val="000000"/>
          <w:sz w:val="28"/>
        </w:rPr>
      </w:pPr>
    </w:p>
    <w:p>
      <w:pPr>
        <w:pStyle w:val="6"/>
        <w:widowControl w:val="0"/>
        <w:snapToGrid w:val="0"/>
        <w:jc w:val="center"/>
        <w:rPr>
          <w:rStyle w:val="9"/>
          <w:rFonts w:hint="eastAsia" w:ascii="黑体" w:eastAsia="黑体"/>
          <w:b w:val="0"/>
          <w:color w:val="000000"/>
          <w:sz w:val="28"/>
        </w:rPr>
      </w:pPr>
    </w:p>
    <w:p>
      <w:pPr>
        <w:pStyle w:val="6"/>
        <w:widowControl w:val="0"/>
        <w:snapToGrid w:val="0"/>
        <w:jc w:val="center"/>
        <w:rPr>
          <w:rStyle w:val="9"/>
          <w:rFonts w:hint="eastAsia" w:ascii="黑体" w:eastAsia="黑体"/>
          <w:b w:val="0"/>
          <w:color w:val="000000"/>
          <w:sz w:val="28"/>
        </w:rPr>
      </w:pPr>
    </w:p>
    <w:p>
      <w:pPr>
        <w:pStyle w:val="6"/>
        <w:widowControl w:val="0"/>
        <w:snapToGrid w:val="0"/>
        <w:rPr>
          <w:rStyle w:val="9"/>
          <w:rFonts w:hint="eastAsia" w:ascii="黑体" w:eastAsia="黑体"/>
          <w:b w:val="0"/>
          <w:color w:val="000000"/>
          <w:sz w:val="28"/>
        </w:rPr>
        <w:sectPr>
          <w:pgSz w:w="11906" w:h="16838"/>
          <w:pgMar w:top="1440" w:right="1800" w:bottom="1440" w:left="1800"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pacing w:beforeAutospacing="0" w:afterAutospacing="0" w:line="480" w:lineRule="exact"/>
        <w:jc w:val="center"/>
        <w:textAlignment w:val="auto"/>
        <w:rPr>
          <w:rFonts w:hint="eastAsia" w:ascii="华文中宋" w:hAnsi="华文中宋" w:eastAsia="华文中宋" w:cs="华文中宋"/>
          <w:b w:val="0"/>
          <w:bCs/>
          <w:sz w:val="32"/>
        </w:rPr>
      </w:pPr>
      <w:r>
        <w:rPr>
          <w:rFonts w:hint="eastAsia" w:ascii="华文中宋" w:hAnsi="华文中宋" w:eastAsia="华文中宋" w:cs="华文中宋"/>
          <w:b w:val="0"/>
          <w:bCs/>
          <w:sz w:val="32"/>
        </w:rPr>
        <w:t>第一章  投标邀请</w:t>
      </w:r>
    </w:p>
    <w:p>
      <w:pPr>
        <w:pStyle w:val="5"/>
        <w:keepNext w:val="0"/>
        <w:keepLines w:val="0"/>
        <w:pageBreakBefore w:val="0"/>
        <w:widowControl w:val="0"/>
        <w:kinsoku/>
        <w:wordWrap/>
        <w:overflowPunct/>
        <w:topLinePunct w:val="0"/>
        <w:autoSpaceDE/>
        <w:autoSpaceDN/>
        <w:bidi w:val="0"/>
        <w:adjustRightInd/>
        <w:spacing w:beforeAutospacing="0" w:afterAutospacing="0" w:line="480" w:lineRule="exact"/>
        <w:ind w:firstLine="0"/>
        <w:textAlignment w:val="auto"/>
        <w:rPr>
          <w:rFonts w:hint="default" w:ascii="仿宋" w:hAnsi="仿宋" w:eastAsia="仿宋"/>
          <w:sz w:val="24"/>
          <w:szCs w:val="24"/>
        </w:rPr>
      </w:pPr>
      <w:r>
        <w:rPr>
          <w:rFonts w:ascii="仿宋" w:hAnsi="仿宋" w:eastAsia="仿宋"/>
          <w:sz w:val="24"/>
        </w:rPr>
        <w:t xml:space="preserve">  </w:t>
      </w:r>
      <w:r>
        <w:rPr>
          <w:rFonts w:ascii="仿宋" w:hAnsi="仿宋" w:eastAsia="仿宋"/>
          <w:sz w:val="28"/>
          <w:szCs w:val="28"/>
        </w:rPr>
        <w:t xml:space="preserve">  </w:t>
      </w:r>
      <w:r>
        <w:rPr>
          <w:rFonts w:hint="eastAsia" w:ascii="仿宋" w:hAnsi="仿宋" w:eastAsia="仿宋"/>
          <w:sz w:val="24"/>
          <w:szCs w:val="24"/>
          <w:lang w:val="en-US" w:eastAsia="zh-CN"/>
        </w:rPr>
        <w:t>五里桥社区社会组织服务中心</w:t>
      </w:r>
      <w:r>
        <w:rPr>
          <w:rFonts w:ascii="仿宋" w:hAnsi="仿宋" w:eastAsia="仿宋"/>
          <w:sz w:val="24"/>
          <w:szCs w:val="24"/>
        </w:rPr>
        <w:t>受上海市黄浦区五里桥街道办事处委托，对“手牵手·心连心”关爱癌症患者公益项目进行公开招标，邀请相关投标人前来投标，具体事项如下：</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黑体" w:hAnsi="黑体" w:eastAsia="黑体" w:cs="黑体"/>
          <w:sz w:val="24"/>
          <w:szCs w:val="24"/>
        </w:rPr>
      </w:pPr>
      <w:r>
        <w:rPr>
          <w:rFonts w:hint="eastAsia" w:ascii="仿宋" w:hAnsi="仿宋" w:eastAsia="仿宋"/>
          <w:sz w:val="24"/>
          <w:szCs w:val="24"/>
        </w:rPr>
        <w:t xml:space="preserve">   </w:t>
      </w:r>
      <w:r>
        <w:rPr>
          <w:rFonts w:hint="eastAsia" w:ascii="黑体" w:hAnsi="黑体" w:eastAsia="黑体" w:cs="黑体"/>
          <w:sz w:val="24"/>
          <w:szCs w:val="24"/>
        </w:rPr>
        <w:t>一、采购信息</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hint="eastAsia" w:ascii="仿宋" w:hAnsi="仿宋" w:eastAsia="仿宋"/>
          <w:sz w:val="24"/>
          <w:szCs w:val="24"/>
          <w:lang w:eastAsia="zh-CN"/>
        </w:rPr>
      </w:pPr>
      <w:r>
        <w:rPr>
          <w:rFonts w:hint="eastAsia" w:ascii="仿宋" w:hAnsi="仿宋" w:eastAsia="仿宋"/>
          <w:sz w:val="24"/>
          <w:szCs w:val="24"/>
        </w:rPr>
        <w:t>1.1采购编号：</w:t>
      </w:r>
      <w:bookmarkStart w:id="2" w:name="招标编号2"/>
      <w:bookmarkEnd w:id="2"/>
      <w:r>
        <w:rPr>
          <w:rFonts w:hint="eastAsia" w:ascii="仿宋" w:hAnsi="仿宋" w:eastAsia="仿宋"/>
          <w:sz w:val="24"/>
          <w:szCs w:val="24"/>
        </w:rPr>
        <w:t>H</w:t>
      </w:r>
      <w:r>
        <w:rPr>
          <w:rFonts w:ascii="仿宋" w:hAnsi="仿宋" w:eastAsia="仿宋"/>
          <w:sz w:val="24"/>
          <w:szCs w:val="24"/>
        </w:rPr>
        <w:t>P</w:t>
      </w:r>
      <w:r>
        <w:rPr>
          <w:rFonts w:hint="eastAsia" w:ascii="仿宋" w:hAnsi="仿宋" w:eastAsia="仿宋"/>
          <w:sz w:val="24"/>
          <w:szCs w:val="24"/>
        </w:rPr>
        <w:t>WL20180</w:t>
      </w:r>
      <w:r>
        <w:rPr>
          <w:rFonts w:hint="eastAsia" w:ascii="仿宋" w:hAnsi="仿宋" w:eastAsia="仿宋"/>
          <w:sz w:val="24"/>
          <w:szCs w:val="24"/>
          <w:lang w:val="en-US" w:eastAsia="zh-CN"/>
        </w:rPr>
        <w:t>4</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ascii="仿宋" w:hAnsi="仿宋" w:eastAsia="仿宋"/>
          <w:sz w:val="24"/>
          <w:szCs w:val="24"/>
        </w:rPr>
        <w:t>1.2</w:t>
      </w:r>
      <w:r>
        <w:rPr>
          <w:rFonts w:hint="eastAsia" w:ascii="仿宋" w:hAnsi="仿宋" w:eastAsia="仿宋"/>
          <w:sz w:val="24"/>
          <w:szCs w:val="24"/>
        </w:rPr>
        <w:t>项目名称：</w:t>
      </w:r>
      <w:bookmarkStart w:id="3" w:name="项目名称3"/>
      <w:bookmarkEnd w:id="3"/>
      <w:r>
        <w:rPr>
          <w:rFonts w:hint="eastAsia" w:ascii="仿宋" w:hAnsi="仿宋" w:eastAsia="仿宋"/>
          <w:sz w:val="24"/>
          <w:szCs w:val="24"/>
        </w:rPr>
        <w:t>“手牵手·心连心”关爱癌症患者公益项目</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ascii="仿宋" w:hAnsi="仿宋" w:eastAsia="仿宋"/>
          <w:sz w:val="24"/>
          <w:szCs w:val="24"/>
        </w:rPr>
        <w:t>1.3</w:t>
      </w:r>
      <w:r>
        <w:rPr>
          <w:rFonts w:hint="eastAsia" w:ascii="仿宋" w:hAnsi="仿宋" w:eastAsia="仿宋"/>
          <w:sz w:val="24"/>
          <w:szCs w:val="24"/>
        </w:rPr>
        <w:t>项目服务对象：五里桥街道1</w:t>
      </w:r>
      <w:r>
        <w:rPr>
          <w:rFonts w:ascii="仿宋" w:hAnsi="仿宋" w:eastAsia="仿宋"/>
          <w:sz w:val="24"/>
          <w:szCs w:val="24"/>
        </w:rPr>
        <w:t>9</w:t>
      </w:r>
      <w:r>
        <w:rPr>
          <w:rFonts w:hint="eastAsia" w:ascii="仿宋" w:hAnsi="仿宋" w:eastAsia="仿宋"/>
          <w:sz w:val="24"/>
          <w:szCs w:val="24"/>
        </w:rPr>
        <w:t>个居委的癌症患者</w:t>
      </w:r>
      <w:r>
        <w:rPr>
          <w:rFonts w:ascii="仿宋" w:hAnsi="仿宋" w:eastAsia="仿宋"/>
          <w:sz w:val="24"/>
          <w:szCs w:val="24"/>
        </w:rPr>
        <w:t xml:space="preserve"> </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hint="eastAsia" w:ascii="仿宋" w:hAnsi="仿宋" w:eastAsia="仿宋"/>
          <w:sz w:val="24"/>
          <w:szCs w:val="24"/>
        </w:rPr>
      </w:pPr>
      <w:r>
        <w:rPr>
          <w:rFonts w:ascii="仿宋" w:hAnsi="仿宋" w:eastAsia="仿宋"/>
          <w:sz w:val="24"/>
          <w:szCs w:val="24"/>
        </w:rPr>
        <w:t>1.4</w:t>
      </w:r>
      <w:r>
        <w:rPr>
          <w:rFonts w:hint="eastAsia" w:ascii="仿宋" w:hAnsi="仿宋" w:eastAsia="仿宋"/>
          <w:sz w:val="24"/>
          <w:szCs w:val="24"/>
        </w:rPr>
        <w:t>项目实施地点：</w:t>
      </w:r>
      <w:bookmarkStart w:id="4" w:name="实施地点1"/>
      <w:bookmarkEnd w:id="4"/>
      <w:r>
        <w:rPr>
          <w:rFonts w:hint="eastAsia" w:ascii="仿宋" w:hAnsi="仿宋" w:eastAsia="仿宋"/>
          <w:sz w:val="24"/>
          <w:szCs w:val="24"/>
        </w:rPr>
        <w:t>五里桥街道</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ascii="仿宋" w:hAnsi="仿宋" w:eastAsia="仿宋"/>
          <w:sz w:val="24"/>
          <w:szCs w:val="24"/>
        </w:rPr>
        <w:t>1.5</w:t>
      </w:r>
      <w:r>
        <w:rPr>
          <w:rFonts w:hint="eastAsia" w:ascii="仿宋" w:hAnsi="仿宋" w:eastAsia="仿宋"/>
          <w:sz w:val="24"/>
          <w:szCs w:val="24"/>
        </w:rPr>
        <w:t>项目周期：</w:t>
      </w:r>
      <w:bookmarkStart w:id="5" w:name="项目周期1"/>
      <w:bookmarkEnd w:id="5"/>
      <w:r>
        <w:rPr>
          <w:rFonts w:ascii="仿宋" w:hAnsi="仿宋" w:eastAsia="仿宋"/>
          <w:sz w:val="24"/>
          <w:szCs w:val="24"/>
        </w:rPr>
        <w:t>201</w:t>
      </w:r>
      <w:r>
        <w:rPr>
          <w:rFonts w:hint="eastAsia" w:ascii="仿宋" w:hAnsi="仿宋" w:eastAsia="仿宋"/>
          <w:sz w:val="24"/>
          <w:szCs w:val="24"/>
        </w:rPr>
        <w:t>8年</w:t>
      </w:r>
      <w:r>
        <w:rPr>
          <w:rFonts w:hint="eastAsia" w:ascii="仿宋" w:hAnsi="仿宋" w:eastAsia="仿宋"/>
          <w:sz w:val="24"/>
          <w:szCs w:val="24"/>
          <w:lang w:val="en-US" w:eastAsia="zh-CN"/>
        </w:rPr>
        <w:t>5</w:t>
      </w:r>
      <w:r>
        <w:rPr>
          <w:rFonts w:hint="eastAsia" w:ascii="仿宋" w:hAnsi="仿宋" w:eastAsia="仿宋"/>
          <w:sz w:val="24"/>
          <w:szCs w:val="24"/>
        </w:rPr>
        <w:t>月</w:t>
      </w:r>
      <w:r>
        <w:rPr>
          <w:rFonts w:ascii="仿宋" w:hAnsi="仿宋" w:eastAsia="仿宋"/>
          <w:sz w:val="24"/>
          <w:szCs w:val="24"/>
        </w:rPr>
        <w:t>—201</w:t>
      </w:r>
      <w:r>
        <w:rPr>
          <w:rFonts w:hint="eastAsia" w:ascii="仿宋" w:hAnsi="仿宋" w:eastAsia="仿宋"/>
          <w:sz w:val="24"/>
          <w:szCs w:val="24"/>
        </w:rPr>
        <w:t>8年</w:t>
      </w:r>
      <w:r>
        <w:rPr>
          <w:rFonts w:ascii="仿宋" w:hAnsi="仿宋" w:eastAsia="仿宋"/>
          <w:sz w:val="24"/>
          <w:szCs w:val="24"/>
        </w:rPr>
        <w:t>12</w:t>
      </w:r>
      <w:r>
        <w:rPr>
          <w:rFonts w:hint="eastAsia" w:ascii="仿宋" w:hAnsi="仿宋" w:eastAsia="仿宋"/>
          <w:sz w:val="24"/>
          <w:szCs w:val="24"/>
        </w:rPr>
        <w:t>月</w:t>
      </w:r>
      <w:r>
        <w:rPr>
          <w:rFonts w:ascii="仿宋" w:hAnsi="仿宋" w:eastAsia="仿宋"/>
          <w:sz w:val="24"/>
          <w:szCs w:val="24"/>
        </w:rPr>
        <w:t xml:space="preserve"> </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ascii="仿宋" w:hAnsi="仿宋" w:eastAsia="仿宋"/>
          <w:sz w:val="24"/>
          <w:szCs w:val="24"/>
        </w:rPr>
        <w:t>1.6</w:t>
      </w:r>
      <w:r>
        <w:rPr>
          <w:rFonts w:hint="eastAsia" w:ascii="仿宋" w:hAnsi="仿宋" w:eastAsia="仿宋"/>
          <w:sz w:val="24"/>
          <w:szCs w:val="24"/>
        </w:rPr>
        <w:t>采购报价：</w:t>
      </w:r>
      <w:r>
        <w:rPr>
          <w:rFonts w:ascii="仿宋" w:hAnsi="仿宋" w:eastAsia="仿宋"/>
          <w:sz w:val="24"/>
          <w:szCs w:val="24"/>
        </w:rPr>
        <w:t>150000</w:t>
      </w:r>
      <w:r>
        <w:rPr>
          <w:rFonts w:hint="eastAsia" w:ascii="仿宋" w:hAnsi="仿宋" w:eastAsia="仿宋"/>
          <w:sz w:val="24"/>
          <w:szCs w:val="24"/>
        </w:rPr>
        <w:t>元（壹拾伍万圆整）</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ascii="仿宋" w:hAnsi="仿宋" w:eastAsia="仿宋"/>
          <w:sz w:val="24"/>
          <w:szCs w:val="24"/>
        </w:rPr>
        <w:t>1.7</w:t>
      </w:r>
      <w:r>
        <w:rPr>
          <w:rFonts w:hint="eastAsia" w:ascii="仿宋" w:hAnsi="仿宋" w:eastAsia="仿宋"/>
          <w:sz w:val="24"/>
          <w:szCs w:val="24"/>
        </w:rPr>
        <w:t>付款方式：</w:t>
      </w:r>
      <w:bookmarkStart w:id="6" w:name="付款方式1"/>
      <w:bookmarkEnd w:id="6"/>
      <w:r>
        <w:rPr>
          <w:rFonts w:hint="eastAsia" w:ascii="仿宋" w:hAnsi="仿宋" w:eastAsia="仿宋"/>
          <w:sz w:val="24"/>
          <w:szCs w:val="24"/>
        </w:rPr>
        <w:t>分期付款（比例：</w:t>
      </w:r>
      <w:r>
        <w:rPr>
          <w:rFonts w:hint="eastAsia" w:ascii="仿宋" w:hAnsi="仿宋" w:eastAsia="仿宋"/>
          <w:sz w:val="24"/>
          <w:szCs w:val="24"/>
          <w:lang w:val="en-US" w:eastAsia="zh-CN"/>
        </w:rPr>
        <w:t>6</w:t>
      </w:r>
      <w:r>
        <w:rPr>
          <w:rFonts w:hint="eastAsia" w:ascii="仿宋" w:hAnsi="仿宋" w:eastAsia="仿宋"/>
          <w:sz w:val="24"/>
          <w:szCs w:val="24"/>
        </w:rPr>
        <w:t>:</w:t>
      </w:r>
      <w:r>
        <w:rPr>
          <w:rFonts w:hint="eastAsia" w:ascii="仿宋" w:hAnsi="仿宋" w:eastAsia="仿宋"/>
          <w:sz w:val="24"/>
          <w:szCs w:val="24"/>
          <w:lang w:val="en-US" w:eastAsia="zh-CN"/>
        </w:rPr>
        <w:t>3</w:t>
      </w:r>
      <w:r>
        <w:rPr>
          <w:rFonts w:hint="eastAsia" w:ascii="仿宋" w:hAnsi="仿宋" w:eastAsia="仿宋"/>
          <w:sz w:val="24"/>
          <w:szCs w:val="24"/>
        </w:rPr>
        <w:t>:</w:t>
      </w:r>
      <w:r>
        <w:rPr>
          <w:rFonts w:hint="eastAsia" w:ascii="仿宋" w:hAnsi="仿宋" w:eastAsia="仿宋"/>
          <w:sz w:val="24"/>
          <w:szCs w:val="24"/>
          <w:lang w:val="en-US" w:eastAsia="zh-CN"/>
        </w:rPr>
        <w:t>1</w:t>
      </w:r>
      <w:r>
        <w:rPr>
          <w:rFonts w:hint="eastAsia" w:ascii="仿宋" w:hAnsi="仿宋" w:eastAsia="仿宋"/>
          <w:sz w:val="24"/>
          <w:szCs w:val="24"/>
        </w:rPr>
        <w:t>/预付款</w:t>
      </w:r>
      <w:r>
        <w:rPr>
          <w:rFonts w:hint="eastAsia" w:ascii="仿宋" w:hAnsi="仿宋" w:eastAsia="仿宋"/>
          <w:sz w:val="24"/>
          <w:szCs w:val="24"/>
          <w:lang w:val="en-US" w:eastAsia="zh-CN"/>
        </w:rPr>
        <w:t>60%</w:t>
      </w:r>
      <w:r>
        <w:rPr>
          <w:rFonts w:hint="eastAsia" w:ascii="仿宋" w:hAnsi="仿宋" w:eastAsia="仿宋"/>
          <w:sz w:val="24"/>
          <w:szCs w:val="24"/>
        </w:rPr>
        <w:t>、中期</w:t>
      </w:r>
      <w:r>
        <w:rPr>
          <w:rFonts w:hint="eastAsia" w:ascii="仿宋" w:hAnsi="仿宋" w:eastAsia="仿宋"/>
          <w:sz w:val="24"/>
          <w:szCs w:val="24"/>
          <w:lang w:val="en-US" w:eastAsia="zh-CN"/>
        </w:rPr>
        <w:t>30%</w:t>
      </w:r>
      <w:r>
        <w:rPr>
          <w:rFonts w:hint="eastAsia" w:ascii="仿宋" w:hAnsi="仿宋" w:eastAsia="仿宋"/>
          <w:sz w:val="24"/>
          <w:szCs w:val="24"/>
        </w:rPr>
        <w:t>和末期</w:t>
      </w:r>
      <w:r>
        <w:rPr>
          <w:rFonts w:hint="eastAsia" w:ascii="仿宋" w:hAnsi="仿宋" w:eastAsia="仿宋"/>
          <w:sz w:val="24"/>
          <w:szCs w:val="24"/>
          <w:lang w:val="en-US" w:eastAsia="zh-CN"/>
        </w:rPr>
        <w:t>10%</w:t>
      </w:r>
      <w:r>
        <w:rPr>
          <w:rFonts w:hint="eastAsia" w:ascii="仿宋" w:hAnsi="仿宋" w:eastAsia="仿宋"/>
          <w:sz w:val="24"/>
          <w:szCs w:val="24"/>
        </w:rPr>
        <w:t>）</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黑体" w:hAnsi="黑体" w:eastAsia="黑体" w:cs="黑体"/>
          <w:sz w:val="24"/>
          <w:szCs w:val="24"/>
        </w:rPr>
      </w:pPr>
      <w:r>
        <w:rPr>
          <w:rFonts w:hint="eastAsia" w:ascii="黑体" w:hAnsi="黑体" w:eastAsia="黑体" w:cs="黑体"/>
          <w:sz w:val="24"/>
          <w:szCs w:val="24"/>
        </w:rPr>
        <w:t>二、投标要求</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hint="eastAsia" w:ascii="仿宋" w:hAnsi="仿宋" w:eastAsia="仿宋"/>
          <w:sz w:val="24"/>
          <w:szCs w:val="24"/>
        </w:rPr>
        <w:t>2.1依法登记的社会团体、民办非企业单位和公益性非营利的事业单位。</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hint="eastAsia" w:ascii="仿宋" w:hAnsi="仿宋" w:eastAsia="仿宋"/>
          <w:sz w:val="24"/>
          <w:szCs w:val="24"/>
        </w:rPr>
        <w:t>2.2投标人规范化建设评估等级达到4A级及以上。</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ascii="仿宋" w:hAnsi="仿宋" w:eastAsia="仿宋"/>
          <w:sz w:val="24"/>
          <w:szCs w:val="24"/>
        </w:rPr>
        <w:t>2.</w:t>
      </w:r>
      <w:r>
        <w:rPr>
          <w:rFonts w:hint="eastAsia" w:ascii="仿宋" w:hAnsi="仿宋" w:eastAsia="仿宋"/>
          <w:sz w:val="24"/>
          <w:szCs w:val="24"/>
        </w:rPr>
        <w:t>3投标人所投项目应与其业务范围或组织宗旨相关，有相关项目承接经验。</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60" w:firstLineChars="200"/>
        <w:textAlignment w:val="auto"/>
        <w:rPr>
          <w:rFonts w:ascii="仿宋" w:hAnsi="仿宋" w:eastAsia="仿宋"/>
          <w:w w:val="96"/>
          <w:sz w:val="24"/>
          <w:szCs w:val="24"/>
        </w:rPr>
      </w:pPr>
      <w:r>
        <w:rPr>
          <w:rFonts w:ascii="仿宋" w:hAnsi="仿宋" w:eastAsia="仿宋"/>
          <w:w w:val="96"/>
          <w:sz w:val="24"/>
          <w:szCs w:val="24"/>
        </w:rPr>
        <w:t>2.4</w:t>
      </w:r>
      <w:r>
        <w:rPr>
          <w:rFonts w:hint="eastAsia" w:ascii="仿宋" w:hAnsi="仿宋" w:eastAsia="仿宋"/>
          <w:w w:val="96"/>
          <w:sz w:val="24"/>
          <w:szCs w:val="24"/>
        </w:rPr>
        <w:t>投标人拥有具备护理、心理等相关执业资格及高校专家组成的需求评估团队。</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hint="eastAsia" w:ascii="仿宋" w:hAnsi="仿宋" w:eastAsia="仿宋"/>
          <w:sz w:val="24"/>
          <w:szCs w:val="24"/>
        </w:rPr>
        <w:t>2</w:t>
      </w:r>
      <w:r>
        <w:rPr>
          <w:rFonts w:ascii="仿宋" w:hAnsi="仿宋" w:eastAsia="仿宋"/>
          <w:sz w:val="24"/>
          <w:szCs w:val="24"/>
        </w:rPr>
        <w:t>.5</w:t>
      </w:r>
      <w:r>
        <w:rPr>
          <w:rFonts w:hint="eastAsia" w:ascii="仿宋" w:hAnsi="仿宋" w:eastAsia="仿宋"/>
          <w:sz w:val="24"/>
          <w:szCs w:val="24"/>
        </w:rPr>
        <w:t>投标人拥有具备相关专业资格的志愿者团队。</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outlineLvl w:val="0"/>
        <w:rPr>
          <w:rFonts w:ascii="仿宋" w:hAnsi="仿宋" w:eastAsia="仿宋"/>
          <w:sz w:val="24"/>
          <w:szCs w:val="24"/>
        </w:rPr>
      </w:pPr>
      <w:r>
        <w:rPr>
          <w:rFonts w:hint="eastAsia" w:ascii="仿宋" w:hAnsi="仿宋" w:eastAsia="仿宋"/>
          <w:sz w:val="24"/>
          <w:szCs w:val="24"/>
        </w:rPr>
        <w:t>有关此次公开招标事宜，可按下列地址以来信、来电、来访等形式向代理人进行咨询。</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hint="eastAsia" w:ascii="仿宋" w:hAnsi="仿宋" w:eastAsia="仿宋"/>
          <w:sz w:val="24"/>
          <w:szCs w:val="24"/>
          <w:lang w:val="en-US" w:eastAsia="zh-CN"/>
        </w:rPr>
      </w:pPr>
      <w:r>
        <w:rPr>
          <w:rFonts w:hint="eastAsia" w:ascii="仿宋" w:hAnsi="仿宋" w:eastAsia="仿宋"/>
          <w:sz w:val="24"/>
          <w:szCs w:val="24"/>
        </w:rPr>
        <w:t>招标代理：</w:t>
      </w:r>
      <w:r>
        <w:rPr>
          <w:rFonts w:hint="eastAsia" w:ascii="仿宋" w:hAnsi="仿宋" w:eastAsia="仿宋"/>
          <w:sz w:val="24"/>
          <w:szCs w:val="24"/>
          <w:lang w:val="en-US" w:eastAsia="zh-CN"/>
        </w:rPr>
        <w:t>五里桥社区社会组织服务中心</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ascii="仿宋" w:hAnsi="仿宋" w:eastAsia="仿宋"/>
          <w:sz w:val="24"/>
          <w:szCs w:val="24"/>
        </w:rPr>
      </w:pPr>
      <w:r>
        <w:rPr>
          <w:rFonts w:hint="eastAsia" w:ascii="仿宋" w:hAnsi="仿宋" w:eastAsia="仿宋"/>
          <w:sz w:val="24"/>
          <w:szCs w:val="24"/>
        </w:rPr>
        <w:t xml:space="preserve">地 </w:t>
      </w:r>
      <w:r>
        <w:rPr>
          <w:rFonts w:ascii="仿宋" w:hAnsi="仿宋" w:eastAsia="仿宋"/>
          <w:sz w:val="24"/>
          <w:szCs w:val="24"/>
        </w:rPr>
        <w:t xml:space="preserve">   </w:t>
      </w:r>
      <w:r>
        <w:rPr>
          <w:rFonts w:hint="eastAsia" w:ascii="仿宋" w:hAnsi="仿宋" w:eastAsia="仿宋"/>
          <w:sz w:val="24"/>
          <w:szCs w:val="24"/>
        </w:rPr>
        <w:t>址：上海市黄浦区瞿溪路7</w:t>
      </w:r>
      <w:r>
        <w:rPr>
          <w:rFonts w:ascii="仿宋" w:hAnsi="仿宋" w:eastAsia="仿宋"/>
          <w:sz w:val="24"/>
          <w:szCs w:val="24"/>
        </w:rPr>
        <w:t>58</w:t>
      </w:r>
      <w:r>
        <w:rPr>
          <w:rFonts w:hint="eastAsia" w:ascii="仿宋" w:hAnsi="仿宋" w:eastAsia="仿宋"/>
          <w:sz w:val="24"/>
          <w:szCs w:val="24"/>
        </w:rPr>
        <w:t>号</w:t>
      </w:r>
      <w:bookmarkStart w:id="8" w:name="_GoBack"/>
      <w:bookmarkEnd w:id="8"/>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hint="eastAsia" w:ascii="仿宋" w:hAnsi="仿宋" w:eastAsia="仿宋"/>
          <w:sz w:val="24"/>
          <w:szCs w:val="24"/>
        </w:rPr>
      </w:pPr>
      <w:r>
        <w:rPr>
          <w:rFonts w:hint="eastAsia" w:ascii="仿宋" w:hAnsi="仿宋" w:eastAsia="仿宋"/>
          <w:sz w:val="24"/>
          <w:szCs w:val="24"/>
        </w:rPr>
        <w:t xml:space="preserve">邮 </w:t>
      </w:r>
      <w:r>
        <w:rPr>
          <w:rFonts w:ascii="仿宋" w:hAnsi="仿宋" w:eastAsia="仿宋"/>
          <w:sz w:val="24"/>
          <w:szCs w:val="24"/>
        </w:rPr>
        <w:t xml:space="preserve">   </w:t>
      </w:r>
      <w:r>
        <w:rPr>
          <w:rFonts w:hint="eastAsia" w:ascii="仿宋" w:hAnsi="仿宋" w:eastAsia="仿宋"/>
          <w:sz w:val="24"/>
          <w:szCs w:val="24"/>
        </w:rPr>
        <w:t>编：2</w:t>
      </w:r>
      <w:r>
        <w:rPr>
          <w:rFonts w:ascii="仿宋" w:hAnsi="仿宋" w:eastAsia="仿宋"/>
          <w:sz w:val="24"/>
          <w:szCs w:val="24"/>
        </w:rPr>
        <w:t>00023</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hint="eastAsia" w:ascii="仿宋" w:hAnsi="仿宋" w:eastAsia="仿宋"/>
          <w:sz w:val="24"/>
          <w:szCs w:val="24"/>
          <w:lang w:val="en-US" w:eastAsia="zh-CN"/>
        </w:rPr>
      </w:pPr>
      <w:r>
        <w:rPr>
          <w:rFonts w:hint="eastAsia" w:ascii="仿宋" w:hAnsi="仿宋" w:eastAsia="仿宋"/>
          <w:sz w:val="24"/>
          <w:szCs w:val="24"/>
        </w:rPr>
        <w:t xml:space="preserve">电 </w:t>
      </w:r>
      <w:r>
        <w:rPr>
          <w:rFonts w:ascii="仿宋" w:hAnsi="仿宋" w:eastAsia="仿宋"/>
          <w:sz w:val="24"/>
          <w:szCs w:val="24"/>
        </w:rPr>
        <w:t xml:space="preserve">   </w:t>
      </w:r>
      <w:r>
        <w:rPr>
          <w:rFonts w:hint="eastAsia" w:ascii="仿宋" w:hAnsi="仿宋" w:eastAsia="仿宋"/>
          <w:sz w:val="24"/>
          <w:szCs w:val="24"/>
        </w:rPr>
        <w:t>话</w:t>
      </w:r>
      <w:bookmarkStart w:id="7" w:name="中心联系电话1"/>
      <w:bookmarkEnd w:id="7"/>
      <w:r>
        <w:rPr>
          <w:rFonts w:hint="eastAsia" w:ascii="仿宋" w:hAnsi="仿宋" w:eastAsia="仿宋"/>
          <w:sz w:val="24"/>
          <w:szCs w:val="24"/>
        </w:rPr>
        <w:t>:</w:t>
      </w:r>
      <w:r>
        <w:rPr>
          <w:rFonts w:ascii="仿宋" w:hAnsi="仿宋" w:eastAsia="仿宋"/>
          <w:sz w:val="24"/>
          <w:szCs w:val="24"/>
        </w:rPr>
        <w:t xml:space="preserve"> </w:t>
      </w:r>
      <w:r>
        <w:rPr>
          <w:rFonts w:hint="eastAsia" w:ascii="仿宋" w:hAnsi="仿宋" w:eastAsia="仿宋"/>
          <w:sz w:val="24"/>
          <w:szCs w:val="24"/>
        </w:rPr>
        <w:t>63025512-3399</w:t>
      </w:r>
      <w:r>
        <w:rPr>
          <w:rFonts w:hint="eastAsia" w:ascii="仿宋" w:hAnsi="仿宋" w:eastAsia="仿宋"/>
          <w:sz w:val="24"/>
          <w:szCs w:val="24"/>
          <w:lang w:val="en-US" w:eastAsia="zh-CN"/>
        </w:rPr>
        <w:t>(金玉珊)</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hint="eastAsia" w:ascii="仿宋" w:hAnsi="仿宋" w:eastAsia="仿宋"/>
          <w:sz w:val="24"/>
          <w:szCs w:val="24"/>
        </w:rPr>
      </w:pPr>
      <w:r>
        <w:rPr>
          <w:rFonts w:hint="eastAsia" w:ascii="仿宋" w:hAnsi="仿宋" w:eastAsia="仿宋"/>
          <w:sz w:val="24"/>
          <w:szCs w:val="24"/>
          <w:lang w:val="en-US" w:eastAsia="zh-CN"/>
        </w:rPr>
        <w:t>邮    箱</w:t>
      </w:r>
      <w:r>
        <w:rPr>
          <w:rFonts w:hint="eastAsia" w:ascii="仿宋" w:hAnsi="仿宋" w:eastAsia="仿宋"/>
          <w:sz w:val="24"/>
          <w:szCs w:val="24"/>
        </w:rPr>
        <w:t>：</w:t>
      </w:r>
      <w:r>
        <w:rPr>
          <w:rFonts w:hint="eastAsia" w:ascii="仿宋" w:hAnsi="仿宋" w:eastAsia="仿宋"/>
          <w:sz w:val="24"/>
          <w:szCs w:val="24"/>
        </w:rPr>
        <w:fldChar w:fldCharType="begin"/>
      </w:r>
      <w:r>
        <w:rPr>
          <w:rFonts w:hint="eastAsia" w:ascii="仿宋" w:hAnsi="仿宋" w:eastAsia="仿宋"/>
          <w:sz w:val="24"/>
          <w:szCs w:val="24"/>
        </w:rPr>
        <w:instrText xml:space="preserve"> HYPERLINK "mailto:ygsx20140901@126.com" </w:instrText>
      </w:r>
      <w:r>
        <w:rPr>
          <w:rFonts w:hint="eastAsia" w:ascii="仿宋" w:hAnsi="仿宋" w:eastAsia="仿宋"/>
          <w:sz w:val="24"/>
          <w:szCs w:val="24"/>
        </w:rPr>
        <w:fldChar w:fldCharType="separate"/>
      </w:r>
      <w:r>
        <w:rPr>
          <w:rStyle w:val="10"/>
          <w:rFonts w:hint="eastAsia" w:ascii="仿宋" w:hAnsi="仿宋" w:eastAsia="仿宋"/>
          <w:sz w:val="24"/>
          <w:szCs w:val="24"/>
        </w:rPr>
        <w:t>ygsx20140901@126.com</w:t>
      </w:r>
      <w:r>
        <w:rPr>
          <w:rFonts w:hint="eastAsia" w:ascii="仿宋" w:hAnsi="仿宋" w:eastAsia="仿宋"/>
          <w:sz w:val="24"/>
          <w:szCs w:val="24"/>
        </w:rPr>
        <w:fldChar w:fldCharType="end"/>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640" w:firstLineChars="200"/>
        <w:jc w:val="left"/>
        <w:textAlignment w:val="auto"/>
        <w:rPr>
          <w:rFonts w:hint="eastAsia" w:ascii="仿宋" w:hAnsi="仿宋" w:eastAsia="仿宋"/>
          <w:sz w:val="24"/>
          <w:szCs w:val="24"/>
        </w:rPr>
      </w:pPr>
      <w:r>
        <w:rPr>
          <w:rFonts w:ascii="仿宋" w:hAnsi="仿宋" w:eastAsia="仿宋" w:cs="仿宋"/>
          <w:sz w:val="32"/>
          <w:szCs w:val="32"/>
        </w:rPr>
        <w:drawing>
          <wp:anchor distT="0" distB="0" distL="114300" distR="114300" simplePos="0" relativeHeight="251658240" behindDoc="1" locked="0" layoutInCell="1" allowOverlap="1">
            <wp:simplePos x="0" y="0"/>
            <wp:positionH relativeFrom="column">
              <wp:posOffset>2934970</wp:posOffset>
            </wp:positionH>
            <wp:positionV relativeFrom="paragraph">
              <wp:posOffset>-273685</wp:posOffset>
            </wp:positionV>
            <wp:extent cx="2019300" cy="1676400"/>
            <wp:effectExtent l="0" t="0" r="0" b="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19300" cy="1676400"/>
                    </a:xfrm>
                    <a:prstGeom prst="rect">
                      <a:avLst/>
                    </a:prstGeom>
                  </pic:spPr>
                </pic:pic>
              </a:graphicData>
            </a:graphic>
          </wp:anchor>
        </w:drawing>
      </w:r>
    </w:p>
    <w:p>
      <w:pPr>
        <w:pStyle w:val="6"/>
        <w:keepNext w:val="0"/>
        <w:keepLines w:val="0"/>
        <w:pageBreakBefore w:val="0"/>
        <w:widowControl w:val="0"/>
        <w:kinsoku/>
        <w:wordWrap/>
        <w:overflowPunct/>
        <w:topLinePunct w:val="0"/>
        <w:autoSpaceDE/>
        <w:autoSpaceDN/>
        <w:bidi w:val="0"/>
        <w:adjustRightInd/>
        <w:snapToGrid w:val="0"/>
        <w:spacing w:beforeAutospacing="0" w:afterAutospacing="0" w:line="480" w:lineRule="exact"/>
        <w:jc w:val="right"/>
        <w:textAlignment w:val="auto"/>
        <w:rPr>
          <w:rStyle w:val="9"/>
          <w:rFonts w:hint="eastAsia" w:ascii="仿宋" w:hAnsi="仿宋" w:eastAsia="仿宋" w:cs="仿宋"/>
          <w:b w:val="0"/>
          <w:color w:val="000000"/>
          <w:sz w:val="24"/>
          <w:szCs w:val="24"/>
          <w:lang w:val="en-US" w:eastAsia="zh-CN"/>
        </w:rPr>
      </w:pPr>
      <w:r>
        <w:rPr>
          <w:rStyle w:val="9"/>
          <w:rFonts w:hint="eastAsia" w:ascii="仿宋" w:hAnsi="仿宋" w:eastAsia="仿宋" w:cs="仿宋"/>
          <w:b w:val="0"/>
          <w:color w:val="000000"/>
          <w:sz w:val="24"/>
          <w:szCs w:val="24"/>
          <w:lang w:val="en-US" w:eastAsia="zh-CN"/>
        </w:rPr>
        <w:t>五里桥社区社会组织服务中心</w:t>
      </w:r>
    </w:p>
    <w:p>
      <w:pPr>
        <w:pStyle w:val="6"/>
        <w:keepNext w:val="0"/>
        <w:keepLines w:val="0"/>
        <w:pageBreakBefore w:val="0"/>
        <w:widowControl w:val="0"/>
        <w:kinsoku/>
        <w:wordWrap/>
        <w:overflowPunct/>
        <w:topLinePunct w:val="0"/>
        <w:autoSpaceDE/>
        <w:autoSpaceDN/>
        <w:bidi w:val="0"/>
        <w:adjustRightInd/>
        <w:snapToGrid w:val="0"/>
        <w:spacing w:beforeAutospacing="0" w:afterAutospacing="0" w:line="480" w:lineRule="exact"/>
        <w:jc w:val="center"/>
        <w:textAlignment w:val="auto"/>
        <w:rPr>
          <w:rStyle w:val="9"/>
          <w:rFonts w:hint="eastAsia" w:ascii="仿宋" w:hAnsi="仿宋" w:cs="仿宋" w:eastAsiaTheme="minorEastAsia"/>
          <w:b w:val="0"/>
          <w:color w:val="000000"/>
          <w:sz w:val="24"/>
          <w:szCs w:val="24"/>
          <w:lang w:val="en-US" w:eastAsia="zh-CN"/>
        </w:rPr>
        <w:sectPr>
          <w:footerReference r:id="rId3" w:type="default"/>
          <w:pgSz w:w="11906" w:h="16838"/>
          <w:pgMar w:top="1440" w:right="1800" w:bottom="1440" w:left="1800" w:header="851" w:footer="992" w:gutter="0"/>
          <w:pgNumType w:fmt="numberInDash" w:start="1"/>
          <w:cols w:space="425" w:num="1"/>
          <w:docGrid w:type="lines" w:linePitch="312" w:charSpace="0"/>
        </w:sectPr>
      </w:pPr>
      <w:r>
        <w:rPr>
          <w:rStyle w:val="9"/>
          <w:rFonts w:hint="eastAsia" w:ascii="仿宋" w:hAnsi="仿宋" w:eastAsia="仿宋" w:cs="仿宋"/>
          <w:b w:val="0"/>
          <w:color w:val="000000"/>
          <w:sz w:val="24"/>
          <w:szCs w:val="24"/>
          <w:lang w:val="en-US" w:eastAsia="zh-CN"/>
        </w:rPr>
        <w:t xml:space="preserve">                                         2018年4月19日</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center"/>
        <w:textAlignment w:val="auto"/>
        <w:rPr>
          <w:rFonts w:hint="eastAsia" w:ascii="华文中宋" w:hAnsi="华文中宋" w:eastAsia="华文中宋" w:cs="华文中宋"/>
          <w:b w:val="0"/>
          <w:bCs/>
          <w:sz w:val="32"/>
        </w:rPr>
      </w:pPr>
      <w:r>
        <w:rPr>
          <w:rFonts w:hint="eastAsia" w:ascii="华文中宋" w:hAnsi="华文中宋" w:eastAsia="华文中宋" w:cs="华文中宋"/>
          <w:b w:val="0"/>
          <w:bCs/>
          <w:sz w:val="32"/>
        </w:rPr>
        <w:t>第二章  评分指标说明</w:t>
      </w:r>
    </w:p>
    <w:p>
      <w:pPr>
        <w:keepNext w:val="0"/>
        <w:keepLines w:val="0"/>
        <w:pageBreakBefore w:val="0"/>
        <w:widowControl w:val="0"/>
        <w:kinsoku/>
        <w:wordWrap/>
        <w:overflowPunct/>
        <w:topLinePunct w:val="0"/>
        <w:autoSpaceDE/>
        <w:autoSpaceDN/>
        <w:bidi w:val="0"/>
        <w:spacing w:line="480" w:lineRule="exact"/>
        <w:jc w:val="both"/>
        <w:rPr>
          <w:b/>
        </w:rPr>
      </w:pPr>
    </w:p>
    <w:p>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70"/>
        <w:rPr>
          <w:rFonts w:hint="eastAsia" w:ascii="黑体" w:hAnsi="黑体" w:eastAsia="黑体" w:cs="黑体"/>
          <w:sz w:val="24"/>
        </w:rPr>
      </w:pPr>
      <w:r>
        <w:rPr>
          <w:rFonts w:hint="eastAsia" w:ascii="黑体" w:hAnsi="黑体" w:eastAsia="黑体" w:cs="黑体"/>
          <w:sz w:val="24"/>
        </w:rPr>
        <w:t>评分方法和评分指标</w:t>
      </w:r>
    </w:p>
    <w:p>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480" w:firstLineChars="200"/>
        <w:textAlignment w:val="auto"/>
        <w:outlineLvl w:val="9"/>
        <w:rPr>
          <w:rFonts w:hint="eastAsia" w:ascii="仿宋" w:hAnsi="仿宋" w:eastAsia="仿宋" w:cs="仿宋"/>
          <w:sz w:val="24"/>
        </w:rPr>
      </w:pPr>
      <w:r>
        <w:rPr>
          <w:rFonts w:hint="eastAsia" w:ascii="仿宋" w:hAnsi="仿宋" w:eastAsia="仿宋" w:cs="仿宋"/>
          <w:sz w:val="24"/>
        </w:rPr>
        <w:t>公益招投标的评分方法采用百分制计分法</w:t>
      </w:r>
      <w:r>
        <w:rPr>
          <w:rFonts w:hint="eastAsia" w:ascii="仿宋" w:hAnsi="仿宋" w:eastAsia="仿宋" w:cs="仿宋"/>
          <w:sz w:val="28"/>
        </w:rPr>
        <w:t>，</w:t>
      </w:r>
      <w:r>
        <w:rPr>
          <w:rFonts w:hint="eastAsia" w:ascii="仿宋" w:hAnsi="仿宋" w:eastAsia="仿宋" w:cs="仿宋"/>
          <w:sz w:val="24"/>
        </w:rPr>
        <w:t>在最大限度地满足招标文件实质性要求前提下，按照招标文件中规定的各项指标进行综合评审后，以评标总得分高低进行排名。</w:t>
      </w:r>
      <w:r>
        <w:rPr>
          <w:rFonts w:hint="eastAsia" w:ascii="仿宋" w:hAnsi="仿宋" w:eastAsia="仿宋" w:cs="仿宋"/>
          <w:sz w:val="24"/>
          <w:lang w:val="en-US" w:eastAsia="zh-CN"/>
        </w:rPr>
        <w:t>评标指标包括：</w:t>
      </w:r>
      <w:r>
        <w:rPr>
          <w:rFonts w:hint="eastAsia" w:ascii="仿宋" w:hAnsi="仿宋" w:eastAsia="仿宋" w:cs="仿宋"/>
          <w:sz w:val="24"/>
        </w:rPr>
        <w:t>书面初审、组织能力、实施方案、管理方案</w:t>
      </w:r>
      <w:r>
        <w:rPr>
          <w:rFonts w:hint="eastAsia" w:ascii="仿宋" w:hAnsi="仿宋" w:eastAsia="仿宋" w:cs="仿宋"/>
          <w:sz w:val="24"/>
          <w:lang w:val="en-US" w:eastAsia="zh-CN"/>
        </w:rPr>
        <w:t>四方面</w:t>
      </w:r>
      <w:r>
        <w:rPr>
          <w:rFonts w:hint="eastAsia" w:ascii="仿宋" w:hAnsi="仿宋" w:eastAsia="仿宋" w:cs="仿宋"/>
          <w:sz w:val="24"/>
        </w:rPr>
        <w:t>总分为90分，由评标委员会成员以记名方式</w:t>
      </w:r>
      <w:r>
        <w:rPr>
          <w:rFonts w:hint="eastAsia" w:ascii="仿宋" w:hAnsi="仿宋" w:eastAsia="仿宋" w:cs="仿宋"/>
          <w:sz w:val="24"/>
          <w:lang w:val="en-US" w:eastAsia="zh-CN"/>
        </w:rPr>
        <w:t>独立</w:t>
      </w:r>
      <w:r>
        <w:rPr>
          <w:rFonts w:hint="eastAsia" w:ascii="仿宋" w:hAnsi="仿宋" w:eastAsia="仿宋" w:cs="仿宋"/>
          <w:sz w:val="24"/>
        </w:rPr>
        <w:t>打分，以</w:t>
      </w:r>
      <w:r>
        <w:rPr>
          <w:rFonts w:hint="eastAsia" w:ascii="仿宋" w:hAnsi="仿宋" w:eastAsia="仿宋" w:cs="仿宋"/>
          <w:sz w:val="24"/>
          <w:lang w:val="en-US" w:eastAsia="zh-CN"/>
        </w:rPr>
        <w:t>每位</w:t>
      </w:r>
      <w:r>
        <w:rPr>
          <w:rFonts w:hint="eastAsia" w:ascii="仿宋" w:hAnsi="仿宋" w:eastAsia="仿宋" w:cs="仿宋"/>
          <w:sz w:val="24"/>
        </w:rPr>
        <w:t>评委所给分数的简单算术平均数作为投标人该指标的实际得分</w:t>
      </w:r>
      <w:r>
        <w:rPr>
          <w:rFonts w:hint="eastAsia" w:ascii="仿宋" w:hAnsi="仿宋" w:eastAsia="仿宋" w:cs="仿宋"/>
          <w:sz w:val="24"/>
          <w:lang w:eastAsia="zh-CN"/>
        </w:rPr>
        <w:t>。</w:t>
      </w:r>
      <w:r>
        <w:rPr>
          <w:rFonts w:hint="eastAsia" w:ascii="仿宋" w:hAnsi="仿宋" w:eastAsia="仿宋" w:cs="仿宋"/>
          <w:sz w:val="24"/>
          <w:lang w:val="en-US" w:eastAsia="zh-CN"/>
        </w:rPr>
        <w:t>另</w:t>
      </w:r>
      <w:r>
        <w:rPr>
          <w:rFonts w:hint="eastAsia" w:ascii="仿宋" w:hAnsi="仿宋" w:eastAsia="仿宋" w:cs="仿宋"/>
          <w:sz w:val="24"/>
        </w:rPr>
        <w:t>投标报价分值为10分，由招标代理方工作人员根据规定直接计分，并在评审结束后报请评标委员会审核确认。最终得分为：评标总得分＝评标委员会打分+投标报价分。</w:t>
      </w:r>
    </w:p>
    <w:p>
      <w:pPr>
        <w:keepNext w:val="0"/>
        <w:keepLines w:val="0"/>
        <w:pageBreakBefore w:val="0"/>
        <w:widowControl w:val="0"/>
        <w:kinsoku/>
        <w:wordWrap/>
        <w:overflowPunct/>
        <w:topLinePunct w:val="0"/>
        <w:autoSpaceDE/>
        <w:autoSpaceDN/>
        <w:bidi w:val="0"/>
        <w:adjustRightInd w:val="0"/>
        <w:snapToGrid w:val="0"/>
        <w:spacing w:line="460" w:lineRule="exact"/>
        <w:rPr>
          <w:rFonts w:hint="eastAsia" w:ascii="仿宋" w:hAnsi="仿宋" w:eastAsia="仿宋" w:cs="仿宋"/>
          <w:sz w:val="24"/>
        </w:rPr>
      </w:pPr>
      <w:r>
        <w:rPr>
          <w:rFonts w:hint="eastAsia" w:ascii="仿宋" w:hAnsi="仿宋" w:eastAsia="仿宋" w:cs="仿宋"/>
          <w:sz w:val="24"/>
        </w:rPr>
        <w:t xml:space="preserve">    基准价为所有有效投标报价的算术平均值；投标报价为投标人向招标人提交的正式报价，《开标一览表》、《投标函》与《项目预算表》报价不一致时，以《开标一览表》中的投标报价为准。</w:t>
      </w:r>
    </w:p>
    <w:p>
      <w:pPr>
        <w:pStyle w:val="5"/>
        <w:keepNext w:val="0"/>
        <w:keepLines w:val="0"/>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0000FF"/>
          <w:sz w:val="24"/>
        </w:rPr>
      </w:pPr>
      <w:r>
        <w:rPr>
          <w:rFonts w:hint="eastAsia" w:ascii="仿宋" w:hAnsi="仿宋" w:eastAsia="仿宋" w:cs="仿宋"/>
          <w:sz w:val="24"/>
        </w:rPr>
        <w:t>评分指标包括以下几方面，以供参照。</w:t>
      </w:r>
    </w:p>
    <w:tbl>
      <w:tblPr>
        <w:tblStyle w:val="11"/>
        <w:tblW w:w="8820" w:type="dxa"/>
        <w:tblInd w:w="-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5"/>
        <w:gridCol w:w="1065"/>
        <w:gridCol w:w="1605"/>
        <w:gridCol w:w="4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r>
              <w:rPr>
                <w:rFonts w:hint="eastAsia" w:ascii="黑体" w:hAnsi="黑体" w:eastAsia="黑体"/>
                <w:sz w:val="24"/>
              </w:rPr>
              <w:t>废标要素</w:t>
            </w:r>
          </w:p>
        </w:tc>
        <w:tc>
          <w:tcPr>
            <w:tcW w:w="7635" w:type="dxa"/>
            <w:gridSpan w:val="3"/>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*《开标一览表》中的投标报价高于项目最高限价</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*投标文件章节严重缺失不完整</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*相关资格证明文件不能提供或不具备投标资格</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*投标方案未实质性响应招标文件“服务要求”</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b/>
                <w:sz w:val="24"/>
              </w:rPr>
            </w:pPr>
            <w:r>
              <w:rPr>
                <w:rFonts w:hint="eastAsia" w:ascii="仿宋_GB2312" w:hAnsi="仿宋" w:eastAsia="仿宋_GB2312"/>
                <w:b/>
                <w:sz w:val="24"/>
              </w:rPr>
              <w:t>以上要素若出现其一即为废标，以下指标无须打分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ascii="黑体" w:hAnsi="仿宋" w:eastAsia="黑体"/>
                <w:sz w:val="24"/>
              </w:rPr>
            </w:pPr>
            <w:r>
              <w:rPr>
                <w:rFonts w:hint="eastAsia" w:ascii="黑体" w:hAnsi="仿宋" w:eastAsia="黑体"/>
                <w:sz w:val="24"/>
              </w:rPr>
              <w:t>一级指标</w:t>
            </w: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ascii="黑体" w:hAnsi="仿宋" w:eastAsia="黑体"/>
                <w:sz w:val="24"/>
              </w:rPr>
            </w:pPr>
            <w:r>
              <w:rPr>
                <w:rFonts w:hint="eastAsia" w:ascii="黑体" w:hAnsi="仿宋" w:eastAsia="黑体"/>
                <w:sz w:val="24"/>
              </w:rPr>
              <w:t>二级指标</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ascii="黑体" w:hAnsi="仿宋" w:eastAsia="黑体"/>
                <w:sz w:val="24"/>
              </w:rPr>
            </w:pPr>
            <w:r>
              <w:rPr>
                <w:rFonts w:hint="eastAsia" w:ascii="黑体" w:hAnsi="仿宋" w:eastAsia="黑体"/>
                <w:sz w:val="24"/>
              </w:rPr>
              <w:t>指标说明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16" w:hRule="atLeast"/>
        </w:trPr>
        <w:tc>
          <w:tcPr>
            <w:tcW w:w="11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一、</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书面初审（5）</w:t>
            </w: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1、准确性和完整性</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（5）</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*投标人名称前后不一致</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*投标报价前后不一致</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*《投标函》和《开标一览表》应填部分填写错误或缺失</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*未按要求签字盖章</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*预算明细总和与总价不一致</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*实施方案细目应附预算缺失或与《项目预算表》不一致</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*其他（除“相关资格证明文件不能提供或不具备投标资格”中规定的资格证明文件之外的其他应附附件缺失、《项目预算表》中管理费用超过业务活动费的10%、有合作机构但未填写合作机构</w:t>
            </w:r>
            <w:r>
              <w:rPr>
                <w:rFonts w:hint="eastAsia" w:ascii="仿宋_GB2312" w:hAnsi="仿宋_GB2312" w:eastAsia="仿宋_GB2312"/>
                <w:sz w:val="24"/>
              </w:rPr>
              <w:t>情况</w:t>
            </w:r>
            <w:r>
              <w:rPr>
                <w:rFonts w:hint="eastAsia" w:ascii="仿宋_GB2312" w:hAnsi="仿宋" w:eastAsia="仿宋_GB2312"/>
                <w:sz w:val="24"/>
              </w:rPr>
              <w:t>简介等）</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b/>
                <w:sz w:val="24"/>
              </w:rPr>
              <w:t>以上要素每出现一项，“书面初审”扣2分，上限5分。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二、</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组织能力</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（15）</w:t>
            </w: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2、组织资质</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（3）</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hint="eastAsia"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成立时间长</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机构架构图清晰，</w:t>
            </w:r>
            <w:r>
              <w:rPr>
                <w:rFonts w:hint="eastAsia" w:ascii="仿宋_GB2312" w:hAnsi="仿宋_GB2312" w:eastAsia="仿宋_GB2312"/>
                <w:sz w:val="24"/>
              </w:rPr>
              <w:t>包括理事会、核心领导层、机构总人数、社工人数等</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_GB2312" w:eastAsia="仿宋_GB2312"/>
                <w:sz w:val="24"/>
              </w:rPr>
            </w:pPr>
            <w:r>
              <w:rPr>
                <w:rFonts w:ascii="仿宋_GB2312" w:hAnsi="仿宋" w:eastAsia="仿宋_GB2312"/>
                <w:sz w:val="24"/>
              </w:rPr>
              <w:sym w:font="Wingdings" w:char="0083"/>
            </w:r>
            <w:r>
              <w:rPr>
                <w:rFonts w:hint="eastAsia" w:ascii="仿宋_GB2312" w:hAnsi="仿宋" w:eastAsia="仿宋_GB2312"/>
                <w:sz w:val="24"/>
              </w:rPr>
              <w:t>业务范围或组织宗旨与本项目适应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9"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3、专业优势</w:t>
            </w:r>
          </w:p>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hint="eastAsia" w:ascii="仿宋_GB2312" w:hAnsi="仿宋" w:eastAsia="仿宋_GB2312"/>
                <w:sz w:val="24"/>
              </w:rPr>
              <w:t>投标人在本项目涉及领域内的优势（如人员优势、资源整合优势、实务操作优势等）是否明显，是否有利于顺利实施本项目。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4、项目经验</w:t>
            </w:r>
          </w:p>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有同类项目运作经验</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项目运作经验丰富</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_GB2312" w:eastAsia="仿宋_GB2312"/>
                <w:sz w:val="24"/>
              </w:rPr>
            </w:pPr>
            <w:r>
              <w:rPr>
                <w:rFonts w:ascii="仿宋_GB2312" w:hAnsi="仿宋" w:eastAsia="仿宋_GB2312"/>
                <w:sz w:val="24"/>
              </w:rPr>
              <w:sym w:font="Wingdings" w:char="0083"/>
            </w:r>
            <w:r>
              <w:rPr>
                <w:rFonts w:hint="eastAsia" w:ascii="仿宋_GB2312" w:hAnsi="仿宋" w:eastAsia="仿宋_GB2312"/>
                <w:sz w:val="24"/>
              </w:rPr>
              <w:t>有项目获奖经历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118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三、</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实施方案</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（46）</w:t>
            </w:r>
          </w:p>
        </w:tc>
        <w:tc>
          <w:tcPr>
            <w:tcW w:w="106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实施计划子项目（活动）描述</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（24）</w:t>
            </w:r>
          </w:p>
          <w:p>
            <w:pPr>
              <w:keepNext w:val="0"/>
              <w:keepLines w:val="0"/>
              <w:pageBreakBefore w:val="0"/>
              <w:widowControl w:val="0"/>
              <w:kinsoku/>
              <w:wordWrap/>
              <w:overflowPunct/>
              <w:topLinePunct w:val="0"/>
              <w:autoSpaceDE/>
              <w:autoSpaceDN/>
              <w:bidi w:val="0"/>
              <w:adjustRightInd w:val="0"/>
              <w:snapToGrid w:val="0"/>
              <w:spacing w:line="460" w:lineRule="exact"/>
              <w:rPr>
                <w:rFonts w:hint="eastAsia"/>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5、实施内容</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hint="eastAsia" w:ascii="仿宋_GB2312" w:hAnsi="仿宋" w:eastAsia="仿宋_GB2312"/>
                <w:sz w:val="24"/>
              </w:rPr>
              <w:t>子项目（活动）内容是否详细完整。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hint="eastAsia"/>
                <w:b/>
                <w:sz w:val="24"/>
              </w:rPr>
            </w:pPr>
            <w:r>
              <w:rPr>
                <w:rFonts w:hint="eastAsia" w:ascii="宋体" w:hAnsi="宋体"/>
                <w:b/>
                <w:sz w:val="24"/>
              </w:rPr>
              <w:t>6、基本要素</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（2）</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子项目（活动）实施时间明确</w:t>
            </w:r>
          </w:p>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子项目（活动）实施地点明确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7、服务频次（2）</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子项目（活动）服务频次合计数是否满足服务要求。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2"/>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受益人群与人数</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（2）</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子项目（活动）受益人群与人数合计数是否满足服务要求。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9、人员配置</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_GB2312" w:eastAsia="仿宋_GB2312"/>
                <w:sz w:val="24"/>
              </w:rPr>
            </w:pPr>
            <w:r>
              <w:rPr>
                <w:rFonts w:hint="eastAsia" w:ascii="仿宋_GB2312" w:hAnsi="仿宋" w:eastAsia="仿宋_GB2312"/>
                <w:sz w:val="24"/>
              </w:rPr>
              <w:t>子项目（活动）</w:t>
            </w:r>
            <w:r>
              <w:rPr>
                <w:rFonts w:hint="eastAsia" w:ascii="仿宋_GB2312" w:hAnsi="仿宋_GB2312" w:eastAsia="仿宋_GB2312"/>
                <w:sz w:val="24"/>
              </w:rPr>
              <w:t>人员配置</w:t>
            </w:r>
            <w:r>
              <w:rPr>
                <w:rFonts w:hint="eastAsia" w:ascii="仿宋_GB2312" w:hAnsi="仿宋" w:eastAsia="仿宋_GB2312"/>
                <w:sz w:val="24"/>
              </w:rPr>
              <w:t>是否</w:t>
            </w:r>
            <w:r>
              <w:rPr>
                <w:rFonts w:hint="eastAsia" w:ascii="仿宋_GB2312" w:hAnsi="仿宋_GB2312" w:eastAsia="仿宋_GB2312"/>
                <w:sz w:val="24"/>
              </w:rPr>
              <w:t>合理、具备可操作性</w:t>
            </w:r>
            <w:r>
              <w:rPr>
                <w:rFonts w:hint="eastAsia" w:ascii="仿宋_GB2312" w:hAnsi="仿宋" w:eastAsia="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hint="eastAsia"/>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10、资源配置</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子项目（活动）</w:t>
            </w:r>
            <w:r>
              <w:rPr>
                <w:rFonts w:hint="eastAsia" w:ascii="仿宋_GB2312" w:hAnsi="仿宋_GB2312" w:eastAsia="仿宋_GB2312"/>
                <w:sz w:val="24"/>
              </w:rPr>
              <w:t>资源配置内容</w:t>
            </w:r>
            <w:r>
              <w:rPr>
                <w:rFonts w:hint="eastAsia" w:ascii="仿宋_GB2312" w:hAnsi="仿宋" w:eastAsia="仿宋_GB2312"/>
                <w:sz w:val="24"/>
              </w:rPr>
              <w:t>是否</w:t>
            </w:r>
            <w:r>
              <w:rPr>
                <w:rFonts w:hint="eastAsia" w:ascii="仿宋_GB2312" w:hAnsi="仿宋_GB2312" w:eastAsia="仿宋_GB2312"/>
                <w:sz w:val="24"/>
              </w:rPr>
              <w:t>合理、具备可操作性</w:t>
            </w:r>
            <w:r>
              <w:rPr>
                <w:rFonts w:hint="eastAsia" w:ascii="仿宋_GB2312" w:hAnsi="仿宋" w:eastAsia="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3"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hint="eastAsia"/>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11、预算编制</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hint="eastAsia" w:ascii="仿宋_GB2312" w:hAnsi="仿宋" w:eastAsia="仿宋_GB2312"/>
                <w:sz w:val="24"/>
              </w:rPr>
              <w:t>实施方案经费预算编制是否合理（如服务单价、经费分配等）、有相关定价依据。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70"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3"/>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设计合理性</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_GB2312" w:eastAsia="仿宋_GB2312"/>
                <w:sz w:val="24"/>
              </w:rPr>
            </w:pPr>
            <w:r>
              <w:rPr>
                <w:rFonts w:ascii="仿宋_GB2312" w:hAnsi="仿宋" w:eastAsia="仿宋_GB2312"/>
                <w:sz w:val="24"/>
              </w:rPr>
              <w:sym w:font="Wingdings" w:char="0081"/>
            </w:r>
            <w:r>
              <w:rPr>
                <w:rFonts w:hint="eastAsia" w:ascii="仿宋_GB2312" w:hAnsi="仿宋_GB2312" w:eastAsia="仿宋_GB2312"/>
                <w:sz w:val="24"/>
              </w:rPr>
              <w:t>方案计划设计内容充实、具体</w:t>
            </w:r>
          </w:p>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_GB2312" w:eastAsia="仿宋_GB2312"/>
                <w:sz w:val="24"/>
              </w:rPr>
            </w:pPr>
            <w:r>
              <w:rPr>
                <w:rFonts w:ascii="仿宋_GB2312" w:hAnsi="仿宋_GB2312" w:eastAsia="仿宋_GB2312"/>
                <w:sz w:val="24"/>
              </w:rPr>
              <w:sym w:font="Wingdings" w:char="0082"/>
            </w:r>
            <w:r>
              <w:rPr>
                <w:rFonts w:hint="eastAsia" w:ascii="仿宋_GB2312" w:hAnsi="仿宋_GB2312" w:eastAsia="仿宋_GB2312"/>
                <w:sz w:val="24"/>
              </w:rPr>
              <w:t>服务对象具有针对性</w:t>
            </w:r>
          </w:p>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_GB2312" w:eastAsia="仿宋_GB2312"/>
                <w:sz w:val="24"/>
              </w:rPr>
            </w:pPr>
            <w:r>
              <w:rPr>
                <w:rFonts w:ascii="仿宋_GB2312" w:hAnsi="仿宋_GB2312" w:eastAsia="仿宋_GB2312"/>
                <w:sz w:val="24"/>
              </w:rPr>
              <w:sym w:font="Wingdings" w:char="0083"/>
            </w:r>
            <w:r>
              <w:rPr>
                <w:rFonts w:hint="eastAsia" w:ascii="仿宋_GB2312" w:hAnsi="仿宋_GB2312" w:eastAsia="仿宋_GB2312"/>
                <w:sz w:val="24"/>
              </w:rPr>
              <w:t>子项目（活动）设计围绕服务要求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3"/>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操作可行性</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_GB2312" w:eastAsia="仿宋_GB2312"/>
                <w:sz w:val="24"/>
              </w:rPr>
            </w:pPr>
            <w:r>
              <w:rPr>
                <w:rFonts w:ascii="仿宋_GB2312" w:hAnsi="仿宋" w:eastAsia="仿宋_GB2312"/>
                <w:sz w:val="24"/>
              </w:rPr>
              <w:sym w:font="Wingdings" w:char="0081"/>
            </w:r>
            <w:r>
              <w:rPr>
                <w:rFonts w:hint="eastAsia" w:ascii="仿宋_GB2312" w:hAnsi="仿宋_GB2312" w:eastAsia="仿宋_GB2312"/>
                <w:sz w:val="24"/>
              </w:rPr>
              <w:t>了解项目实施地区情况，具备社区基础和群众基础</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_GB2312" w:eastAsia="仿宋_GB2312"/>
                <w:sz w:val="24"/>
              </w:rPr>
            </w:pPr>
            <w:r>
              <w:rPr>
                <w:rFonts w:ascii="仿宋_GB2312" w:hAnsi="仿宋_GB2312" w:eastAsia="仿宋_GB2312"/>
                <w:sz w:val="24"/>
              </w:rPr>
              <w:sym w:font="Wingdings" w:char="0082"/>
            </w:r>
            <w:r>
              <w:rPr>
                <w:rFonts w:hint="eastAsia" w:ascii="仿宋_GB2312" w:hAnsi="仿宋_GB2312" w:eastAsia="仿宋_GB2312"/>
                <w:sz w:val="24"/>
              </w:rPr>
              <w:t>进度安排能够保证完成标的要求</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_GB2312" w:eastAsia="仿宋_GB2312"/>
                <w:sz w:val="24"/>
              </w:rPr>
            </w:pPr>
            <w:r>
              <w:rPr>
                <w:rFonts w:ascii="仿宋_GB2312" w:hAnsi="仿宋_GB2312" w:eastAsia="仿宋_GB2312"/>
                <w:sz w:val="24"/>
              </w:rPr>
              <w:sym w:font="Wingdings" w:char="0083"/>
            </w:r>
            <w:r>
              <w:rPr>
                <w:rFonts w:hint="eastAsia" w:ascii="仿宋_GB2312" w:hAnsi="仿宋_GB2312" w:eastAsia="仿宋_GB2312"/>
                <w:sz w:val="24"/>
              </w:rPr>
              <w:t>子项目（活动）设计内容务实、可操作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14、评估指标</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_GB2312" w:eastAsia="仿宋_GB2312"/>
                <w:sz w:val="24"/>
              </w:rPr>
            </w:pPr>
            <w:r>
              <w:rPr>
                <w:rFonts w:ascii="仿宋_GB2312" w:hAnsi="仿宋" w:eastAsia="仿宋_GB2312"/>
                <w:sz w:val="24"/>
              </w:rPr>
              <w:sym w:font="Wingdings" w:char="0081"/>
            </w:r>
            <w:r>
              <w:rPr>
                <w:rFonts w:hint="eastAsia" w:ascii="仿宋_GB2312" w:hAnsi="仿宋_GB2312" w:eastAsia="仿宋_GB2312"/>
                <w:sz w:val="24"/>
              </w:rPr>
              <w:t>项目成效可衡量，有量化的、具体的指标</w:t>
            </w:r>
          </w:p>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_GB2312" w:eastAsia="仿宋_GB2312"/>
                <w:sz w:val="24"/>
              </w:rPr>
            </w:pPr>
            <w:r>
              <w:rPr>
                <w:rFonts w:ascii="仿宋_GB2312" w:hAnsi="仿宋" w:eastAsia="仿宋_GB2312"/>
                <w:sz w:val="24"/>
              </w:rPr>
              <w:sym w:font="Wingdings" w:char="0082"/>
            </w:r>
            <w:r>
              <w:rPr>
                <w:rFonts w:hint="eastAsia" w:ascii="仿宋_GB2312" w:hAnsi="仿宋" w:eastAsia="仿宋_GB2312"/>
                <w:sz w:val="24"/>
              </w:rPr>
              <w:t>用来</w:t>
            </w:r>
            <w:r>
              <w:rPr>
                <w:rFonts w:hint="eastAsia" w:ascii="仿宋_GB2312" w:hAnsi="仿宋_GB2312" w:eastAsia="仿宋_GB2312"/>
                <w:sz w:val="24"/>
              </w:rPr>
              <w:t>证明该指标已实现</w:t>
            </w:r>
            <w:r>
              <w:rPr>
                <w:rFonts w:hint="eastAsia" w:ascii="仿宋_GB2312" w:hAnsi="仿宋" w:eastAsia="仿宋_GB2312"/>
                <w:sz w:val="24"/>
              </w:rPr>
              <w:t>的</w:t>
            </w:r>
            <w:r>
              <w:rPr>
                <w:rFonts w:hint="eastAsia" w:ascii="仿宋_GB2312" w:hAnsi="仿宋_GB2312" w:eastAsia="仿宋_GB2312"/>
                <w:sz w:val="24"/>
              </w:rPr>
              <w:t>信息、资料等合理、可行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2"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4"/>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可持续性</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对项目本身有无可持续性的分析</w:t>
            </w:r>
          </w:p>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_GB2312" w:eastAsia="仿宋_GB2312"/>
                <w:sz w:val="24"/>
              </w:rPr>
            </w:pPr>
            <w:r>
              <w:rPr>
                <w:rFonts w:ascii="仿宋_GB2312" w:hAnsi="仿宋" w:eastAsia="仿宋_GB2312"/>
                <w:sz w:val="24"/>
              </w:rPr>
              <w:sym w:font="Wingdings" w:char="0082"/>
            </w:r>
            <w:r>
              <w:rPr>
                <w:rFonts w:hint="eastAsia" w:ascii="仿宋_GB2312" w:hAnsi="仿宋" w:eastAsia="仿宋_GB2312"/>
                <w:sz w:val="24"/>
              </w:rPr>
              <w:t>对</w:t>
            </w:r>
            <w:r>
              <w:rPr>
                <w:rFonts w:hint="eastAsia" w:ascii="仿宋_GB2312" w:hAnsi="仿宋_GB2312" w:eastAsia="仿宋_GB2312"/>
                <w:sz w:val="24"/>
              </w:rPr>
              <w:t>机构自身有无能力从其他渠道获得资金，继续运作的分析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76" w:hRule="atLeast"/>
        </w:trPr>
        <w:tc>
          <w:tcPr>
            <w:tcW w:w="118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四、</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管理方案</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（24）</w:t>
            </w: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16、项目组人员管理</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（5）</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岗位架构图清晰，设置合理</w:t>
            </w:r>
          </w:p>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岗位责任明确，落实到人</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3"/>
            </w:r>
            <w:r>
              <w:rPr>
                <w:rFonts w:hint="eastAsia" w:ascii="仿宋_GB2312" w:hAnsi="仿宋" w:eastAsia="仿宋_GB2312"/>
                <w:sz w:val="24"/>
              </w:rPr>
              <w:t>承担本项目的人员职业资格、学历以及相关项目经验与岗位责任相适应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9"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5"/>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质量管理</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具有</w:t>
            </w:r>
            <w:r>
              <w:rPr>
                <w:rFonts w:hint="eastAsia" w:ascii="仿宋_GB2312" w:hAnsi="仿宋_GB2312" w:eastAsia="仿宋_GB2312"/>
                <w:sz w:val="24"/>
              </w:rPr>
              <w:t>针对本项目的</w:t>
            </w:r>
            <w:r>
              <w:rPr>
                <w:rFonts w:hint="eastAsia" w:ascii="仿宋_GB2312" w:hAnsi="仿宋" w:eastAsia="仿宋_GB2312"/>
                <w:sz w:val="24"/>
              </w:rPr>
              <w:t>自查制度，包括流程管理、预算执行、财务管理、进度控制、满意度调查</w:t>
            </w:r>
            <w:r>
              <w:rPr>
                <w:rFonts w:hint="eastAsia" w:ascii="仿宋_GB2312" w:hAnsi="仿宋_GB2312" w:eastAsia="仿宋_GB2312"/>
                <w:sz w:val="24"/>
              </w:rPr>
              <w:t>等，内容</w:t>
            </w:r>
            <w:r>
              <w:rPr>
                <w:rFonts w:hint="eastAsia" w:ascii="仿宋_GB2312" w:hAnsi="仿宋" w:eastAsia="仿宋_GB2312"/>
                <w:sz w:val="24"/>
              </w:rPr>
              <w:t>具体、合理、可行</w:t>
            </w:r>
          </w:p>
          <w:p>
            <w:pPr>
              <w:keepNext w:val="0"/>
              <w:keepLines w:val="0"/>
              <w:pageBreakBefore w:val="0"/>
              <w:widowControl w:val="0"/>
              <w:kinsoku/>
              <w:wordWrap/>
              <w:overflowPunct/>
              <w:topLinePunct w:val="0"/>
              <w:autoSpaceDE/>
              <w:autoSpaceDN/>
              <w:bidi w:val="0"/>
              <w:spacing w:line="460" w:lineRule="exact"/>
              <w:rPr>
                <w:rFonts w:ascii="仿宋_GB2312" w:hAnsi="仿宋" w:eastAsia="仿宋_GB2312"/>
                <w:sz w:val="24"/>
              </w:rPr>
            </w:pPr>
            <w:r>
              <w:rPr>
                <w:rFonts w:ascii="仿宋_GB2312" w:hAnsi="仿宋" w:eastAsia="仿宋_GB2312"/>
                <w:sz w:val="24"/>
              </w:rPr>
              <w:sym w:font="Wingdings" w:char="0082"/>
            </w:r>
            <w:r>
              <w:rPr>
                <w:rFonts w:hint="eastAsia" w:ascii="仿宋_GB2312" w:hAnsi="仿宋_GB2312" w:eastAsia="仿宋_GB2312"/>
                <w:sz w:val="24"/>
              </w:rPr>
              <w:t>承诺遵守招标文件中”</w:t>
            </w:r>
            <w:r>
              <w:rPr>
                <w:rFonts w:hint="eastAsia" w:eastAsia="仿宋_GB2312"/>
                <w:sz w:val="24"/>
              </w:rPr>
              <w:t>项目监管要求”、</w:t>
            </w:r>
            <w:r>
              <w:rPr>
                <w:rFonts w:hint="eastAsia" w:ascii="仿宋_GB2312" w:hAnsi="仿宋_GB2312" w:eastAsia="仿宋_GB2312"/>
                <w:sz w:val="24"/>
              </w:rPr>
              <w:t>“</w:t>
            </w:r>
            <w:r>
              <w:rPr>
                <w:rFonts w:hint="eastAsia" w:eastAsia="仿宋_GB2312"/>
                <w:sz w:val="24"/>
              </w:rPr>
              <w:t>项目结案要求</w:t>
            </w:r>
            <w:r>
              <w:rPr>
                <w:rFonts w:hint="eastAsia" w:ascii="仿宋_GB2312" w:hAnsi="仿宋_GB2312" w:eastAsia="仿宋_GB2312"/>
                <w:sz w:val="24"/>
              </w:rPr>
              <w:t>”提到的内容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9"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5"/>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档案管理</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（5）</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具有基本档案管理制度</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具有</w:t>
            </w:r>
            <w:r>
              <w:rPr>
                <w:rFonts w:hint="eastAsia" w:ascii="仿宋_GB2312" w:hAnsi="仿宋_GB2312" w:eastAsia="仿宋_GB2312"/>
                <w:sz w:val="24"/>
              </w:rPr>
              <w:t>针对本项目的基本档案目录</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3"/>
            </w:r>
            <w:r>
              <w:rPr>
                <w:rFonts w:hint="eastAsia" w:ascii="仿宋_GB2312" w:hAnsi="仿宋" w:eastAsia="仿宋_GB2312"/>
                <w:sz w:val="24"/>
              </w:rPr>
              <w:t>具有相关常规性表格样表，如签到表，志愿者服务记录表、实物领用清单等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9"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5"/>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公关管理</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具有公关管理计划，内容具体、合理、可行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4"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20、风险管理</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风险预测全面合理</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应对方案科学有效，具有针对性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40" w:hRule="atLeast"/>
        </w:trPr>
        <w:tc>
          <w:tcPr>
            <w:tcW w:w="11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val="0"/>
              <w:spacing w:line="460" w:lineRule="exact"/>
              <w:jc w:val="center"/>
              <w:textAlignment w:val="baseline"/>
              <w:rPr>
                <w:rFonts w:ascii="仿宋" w:hAnsi="仿宋" w:eastAsia="仿宋"/>
                <w:b/>
                <w:sz w:val="24"/>
              </w:rPr>
            </w:pPr>
            <w:r>
              <w:rPr>
                <w:rFonts w:hint="eastAsia" w:ascii="仿宋" w:hAnsi="仿宋" w:eastAsia="仿宋"/>
                <w:b/>
                <w:sz w:val="24"/>
              </w:rPr>
              <w:t>五、</w:t>
            </w:r>
          </w:p>
          <w:p>
            <w:pPr>
              <w:keepNext w:val="0"/>
              <w:keepLines w:val="0"/>
              <w:pageBreakBefore w:val="0"/>
              <w:widowControl w:val="0"/>
              <w:kinsoku/>
              <w:wordWrap/>
              <w:overflowPunct/>
              <w:topLinePunct w:val="0"/>
              <w:autoSpaceDE/>
              <w:autoSpaceDN/>
              <w:bidi w:val="0"/>
              <w:snapToGrid w:val="0"/>
              <w:spacing w:line="460" w:lineRule="exact"/>
              <w:jc w:val="center"/>
              <w:textAlignment w:val="baseline"/>
              <w:rPr>
                <w:rFonts w:ascii="仿宋" w:hAnsi="仿宋" w:eastAsia="仿宋"/>
                <w:sz w:val="24"/>
              </w:rPr>
            </w:pPr>
            <w:r>
              <w:rPr>
                <w:rFonts w:hint="eastAsia" w:ascii="仿宋" w:hAnsi="仿宋" w:eastAsia="仿宋"/>
                <w:b/>
                <w:sz w:val="24"/>
              </w:rPr>
              <w:t>投标报价（10）</w:t>
            </w: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仿宋" w:hAnsi="仿宋" w:eastAsia="仿宋"/>
                <w:b/>
                <w:sz w:val="24"/>
              </w:rPr>
              <w:t>21、得分=设定分值-|投标报价-基准价|÷基准价×100</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本指标评标委员会不直接评分，由招标代理方工作人员协助评标委员会计算。</w:t>
            </w:r>
          </w:p>
        </w:tc>
      </w:tr>
    </w:tbl>
    <w:p>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480" w:firstLineChars="200"/>
        <w:textAlignment w:val="auto"/>
        <w:outlineLvl w:val="9"/>
        <w:rPr>
          <w:rFonts w:hint="eastAsia" w:ascii="黑体" w:hAnsi="黑体" w:eastAsia="黑体" w:cs="黑体"/>
          <w:sz w:val="24"/>
        </w:rPr>
      </w:pPr>
      <w:r>
        <w:rPr>
          <w:rFonts w:hint="eastAsia" w:ascii="黑体" w:hAnsi="黑体" w:eastAsia="黑体" w:cs="黑体"/>
          <w:sz w:val="24"/>
          <w:lang w:val="en-US" w:eastAsia="zh-CN"/>
        </w:rPr>
        <w:t>一、</w:t>
      </w:r>
      <w:r>
        <w:rPr>
          <w:rFonts w:hint="eastAsia" w:ascii="黑体" w:hAnsi="黑体" w:eastAsia="黑体" w:cs="黑体"/>
          <w:sz w:val="24"/>
        </w:rPr>
        <w:t>投标人排名方法</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sz w:val="24"/>
        </w:rPr>
      </w:pPr>
      <w:r>
        <w:rPr>
          <w:rFonts w:hint="eastAsia" w:ascii="仿宋" w:hAnsi="仿宋" w:eastAsia="仿宋" w:cs="仿宋"/>
          <w:sz w:val="24"/>
        </w:rPr>
        <w:t>在用百分制计分法计算出各投标文件的最终得分后，评审委员按投标文件得分高低顺序排出名次，排名第一且得分不低于60分的投标人为中标候选人。如果有2位或2位以上的投标文件分数相同，则投标报价低者居前；如果报价仍然相同，则由评审委员会无记名投票确定相同者的排名。</w:t>
      </w:r>
    </w:p>
    <w:p>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70"/>
        <w:rPr>
          <w:rFonts w:hint="eastAsia" w:ascii="黑体" w:hAnsi="黑体" w:eastAsia="黑体" w:cs="黑体"/>
          <w:sz w:val="24"/>
        </w:rPr>
      </w:pPr>
      <w:r>
        <w:rPr>
          <w:rFonts w:hint="eastAsia" w:ascii="黑体" w:hAnsi="黑体" w:eastAsia="黑体" w:cs="黑体"/>
          <w:sz w:val="24"/>
        </w:rPr>
        <w:t>中标候选人推荐要求</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outlineLvl w:val="9"/>
        <w:rPr>
          <w:rFonts w:ascii="Times New Roman" w:eastAsia="仿宋_GB2312"/>
          <w:sz w:val="24"/>
        </w:rPr>
      </w:pPr>
      <w:r>
        <w:rPr>
          <w:rFonts w:ascii="Times New Roman" w:eastAsia="仿宋_GB2312"/>
          <w:sz w:val="24"/>
        </w:rPr>
        <w:t>投标文件的最终得分最高且不低于</w:t>
      </w:r>
      <w:r>
        <w:rPr>
          <w:rFonts w:hint="default" w:ascii="Times New Roman" w:eastAsia="仿宋_GB2312"/>
          <w:sz w:val="24"/>
        </w:rPr>
        <w:t>60</w:t>
      </w:r>
      <w:r>
        <w:rPr>
          <w:rFonts w:ascii="Times New Roman" w:eastAsia="仿宋_GB2312"/>
          <w:sz w:val="24"/>
        </w:rPr>
        <w:t>分的方可被推荐为中标候选人；如果所有投标文件的得分均低于</w:t>
      </w:r>
      <w:r>
        <w:rPr>
          <w:rFonts w:hint="default" w:ascii="Times New Roman" w:eastAsia="仿宋_GB2312"/>
          <w:sz w:val="24"/>
        </w:rPr>
        <w:t>60</w:t>
      </w:r>
      <w:r>
        <w:rPr>
          <w:rFonts w:ascii="Times New Roman" w:eastAsia="仿宋_GB2312"/>
          <w:sz w:val="24"/>
        </w:rPr>
        <w:t>分，则该招标项目流标。</w:t>
      </w:r>
    </w:p>
    <w:p>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70"/>
        <w:rPr>
          <w:rFonts w:hint="eastAsia" w:ascii="黑体" w:hAnsi="黑体" w:eastAsia="黑体" w:cs="黑体"/>
          <w:sz w:val="24"/>
        </w:rPr>
      </w:pPr>
      <w:r>
        <w:rPr>
          <w:rFonts w:hint="eastAsia" w:ascii="黑体" w:hAnsi="黑体" w:eastAsia="黑体" w:cs="黑体"/>
          <w:sz w:val="24"/>
        </w:rPr>
        <w:t>实施进度：</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outlineLvl w:val="9"/>
        <w:rPr>
          <w:rFonts w:hint="default" w:ascii="Times New Roman" w:eastAsia="仿宋_GB2312"/>
          <w:sz w:val="24"/>
        </w:rPr>
      </w:pPr>
      <w:r>
        <w:rPr>
          <w:rFonts w:ascii="Times New Roman" w:eastAsia="仿宋_GB2312"/>
          <w:sz w:val="24"/>
        </w:rPr>
        <w:t>符合招标文件要求。</w:t>
      </w:r>
    </w:p>
    <w:p>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70"/>
        <w:rPr>
          <w:rFonts w:hint="eastAsia" w:ascii="黑体" w:hAnsi="黑体" w:eastAsia="黑体" w:cs="黑体"/>
          <w:sz w:val="24"/>
        </w:rPr>
      </w:pPr>
      <w:r>
        <w:rPr>
          <w:rFonts w:hint="eastAsia" w:ascii="黑体" w:hAnsi="黑体" w:eastAsia="黑体" w:cs="黑体"/>
          <w:sz w:val="24"/>
        </w:rPr>
        <w:t>招标文件的澄清</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outlineLvl w:val="9"/>
        <w:rPr>
          <w:rFonts w:ascii="Times New Roman" w:eastAsia="仿宋_GB2312"/>
          <w:sz w:val="24"/>
        </w:rPr>
      </w:pPr>
      <w:r>
        <w:rPr>
          <w:rFonts w:ascii="Times New Roman" w:eastAsia="仿宋_GB2312"/>
          <w:sz w:val="24"/>
        </w:rPr>
        <w:t>任何要求对招标文件进行澄清的投标人，均应在投标截止期3日以前，按“第一章</w:t>
      </w:r>
      <w:r>
        <w:rPr>
          <w:rFonts w:hint="default" w:ascii="Times New Roman" w:eastAsia="仿宋_GB2312"/>
          <w:sz w:val="24"/>
        </w:rPr>
        <w:t xml:space="preserve"> </w:t>
      </w:r>
      <w:r>
        <w:rPr>
          <w:rFonts w:ascii="Times New Roman" w:eastAsia="仿宋_GB2312"/>
          <w:sz w:val="24"/>
        </w:rPr>
        <w:t>投标邀请”中的地址以书面形式（必须加盖投标人单位公章）通知招标代理人。</w:t>
      </w:r>
    </w:p>
    <w:p>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70"/>
        <w:rPr>
          <w:rFonts w:hint="default" w:ascii="黑体" w:hAnsi="黑体" w:eastAsia="黑体" w:cs="黑体"/>
          <w:sz w:val="24"/>
        </w:rPr>
      </w:pPr>
      <w:r>
        <w:rPr>
          <w:rFonts w:hint="eastAsia" w:ascii="黑体" w:hAnsi="黑体" w:eastAsia="黑体" w:cs="黑体"/>
          <w:sz w:val="24"/>
        </w:rPr>
        <w:t>招标文件的修改</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outlineLvl w:val="9"/>
        <w:rPr>
          <w:rFonts w:hint="eastAsia" w:ascii="Times New Roman" w:eastAsia="仿宋_GB2312"/>
          <w:sz w:val="24"/>
          <w:lang w:val="en-US" w:eastAsia="zh-CN"/>
        </w:rPr>
        <w:sectPr>
          <w:pgSz w:w="11906" w:h="16838"/>
          <w:pgMar w:top="1440" w:right="1800" w:bottom="1440" w:left="1800" w:header="851" w:footer="992" w:gutter="0"/>
          <w:pgNumType w:fmt="numberInDash" w:start="1"/>
          <w:cols w:space="425" w:num="1"/>
          <w:docGrid w:type="lines" w:linePitch="312" w:charSpace="0"/>
        </w:sectPr>
      </w:pPr>
      <w:r>
        <w:rPr>
          <w:rFonts w:hint="eastAsia" w:ascii="Times New Roman" w:eastAsia="仿宋_GB2312"/>
          <w:sz w:val="24"/>
        </w:rPr>
        <w:t>在投标截止期前的任何时候，无论出于何种原因，招标代理人可主动或在解答投标人提出的澄清问题时对招标文件进行修改</w:t>
      </w:r>
      <w:r>
        <w:rPr>
          <w:rFonts w:hint="eastAsia" w:ascii="Times New Roman" w:eastAsia="仿宋_GB2312"/>
          <w:sz w:val="24"/>
          <w:lang w:eastAsia="zh-CN"/>
        </w:rPr>
        <w:t>。</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center"/>
        <w:textAlignment w:val="auto"/>
        <w:rPr>
          <w:rFonts w:hint="eastAsia" w:ascii="华文中宋" w:hAnsi="华文中宋" w:eastAsia="华文中宋" w:cs="华文中宋"/>
          <w:b w:val="0"/>
          <w:bCs/>
          <w:sz w:val="32"/>
        </w:rPr>
      </w:pPr>
      <w:r>
        <w:rPr>
          <w:rFonts w:hint="eastAsia" w:ascii="华文中宋" w:hAnsi="华文中宋" w:eastAsia="华文中宋" w:cs="华文中宋"/>
          <w:b w:val="0"/>
          <w:bCs/>
          <w:sz w:val="32"/>
        </w:rPr>
        <w:t>第</w:t>
      </w:r>
      <w:r>
        <w:rPr>
          <w:rFonts w:hint="eastAsia" w:ascii="华文中宋" w:hAnsi="华文中宋" w:eastAsia="华文中宋" w:cs="华文中宋"/>
          <w:b w:val="0"/>
          <w:bCs/>
          <w:sz w:val="32"/>
          <w:lang w:val="en-US" w:eastAsia="zh-CN"/>
        </w:rPr>
        <w:t>三</w:t>
      </w:r>
      <w:r>
        <w:rPr>
          <w:rFonts w:hint="eastAsia" w:ascii="华文中宋" w:hAnsi="华文中宋" w:eastAsia="华文中宋" w:cs="华文中宋"/>
          <w:b w:val="0"/>
          <w:bCs/>
          <w:sz w:val="32"/>
        </w:rPr>
        <w:t>章 项目需求书</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黑体" w:hAnsi="黑体" w:eastAsia="黑体" w:cs="黑体"/>
          <w:sz w:val="24"/>
        </w:rPr>
      </w:pPr>
      <w:r>
        <w:rPr>
          <w:rFonts w:hint="eastAsia" w:ascii="黑体" w:hAnsi="黑体" w:eastAsia="黑体" w:cs="黑体"/>
          <w:sz w:val="24"/>
        </w:rPr>
        <w:t>一、项目背景</w:t>
      </w:r>
    </w:p>
    <w:p>
      <w:pPr>
        <w:keepNext w:val="0"/>
        <w:keepLines w:val="0"/>
        <w:pageBreakBefore w:val="0"/>
        <w:widowControl w:val="0"/>
        <w:numPr>
          <w:ilvl w:val="0"/>
          <w:numId w:val="6"/>
        </w:numPr>
        <w:kinsoku/>
        <w:wordWrap/>
        <w:overflowPunct/>
        <w:topLinePunct w:val="0"/>
        <w:autoSpaceDE/>
        <w:autoSpaceDN/>
        <w:bidi w:val="0"/>
        <w:adjustRightInd/>
        <w:spacing w:beforeAutospacing="0" w:afterAutospacing="0" w:line="480" w:lineRule="exact"/>
        <w:textAlignment w:val="auto"/>
        <w:rPr>
          <w:rFonts w:ascii="仿宋" w:hAnsi="仿宋" w:eastAsia="仿宋" w:cs="仿宋"/>
          <w:b/>
          <w:sz w:val="24"/>
          <w:szCs w:val="24"/>
        </w:rPr>
      </w:pPr>
      <w:r>
        <w:rPr>
          <w:rFonts w:hint="eastAsia" w:ascii="仿宋" w:hAnsi="仿宋" w:eastAsia="仿宋" w:cs="仿宋"/>
          <w:b/>
          <w:sz w:val="24"/>
          <w:szCs w:val="24"/>
        </w:rPr>
        <w:t>社区背景</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cs="仿宋"/>
          <w:sz w:val="24"/>
          <w:szCs w:val="24"/>
        </w:rPr>
      </w:pPr>
      <w:r>
        <w:rPr>
          <w:rFonts w:hint="eastAsia" w:ascii="仿宋" w:hAnsi="仿宋" w:eastAsia="仿宋" w:cs="仿宋"/>
          <w:sz w:val="24"/>
          <w:szCs w:val="24"/>
        </w:rPr>
        <w:t>五里桥街道位于黄浦区西南部，东起制造局路，南到黄浦江，西临瑞金南路，北至斜土路，区域面积3.094平方公里，其中包括约0.5平方公里水域面积，现有户籍人口6.8万余人，实有人口8.4万余人，19个居委会。</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仿宋" w:hAnsi="仿宋" w:eastAsia="仿宋" w:cs="仿宋"/>
          <w:b/>
          <w:sz w:val="24"/>
          <w:szCs w:val="24"/>
        </w:rPr>
      </w:pPr>
      <w:r>
        <w:rPr>
          <w:rFonts w:hint="eastAsia" w:ascii="仿宋" w:hAnsi="仿宋" w:eastAsia="仿宋" w:cs="仿宋"/>
          <w:b/>
          <w:sz w:val="24"/>
          <w:szCs w:val="24"/>
        </w:rPr>
        <w:t>（二）服务对象</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rPr>
      </w:pPr>
      <w:r>
        <w:rPr>
          <w:rFonts w:hint="eastAsia" w:ascii="仿宋" w:hAnsi="仿宋" w:eastAsia="仿宋"/>
          <w:sz w:val="24"/>
        </w:rPr>
        <w:t>五里桥街道1</w:t>
      </w:r>
      <w:r>
        <w:rPr>
          <w:rFonts w:ascii="仿宋" w:hAnsi="仿宋" w:eastAsia="仿宋"/>
          <w:sz w:val="24"/>
        </w:rPr>
        <w:t>9</w:t>
      </w:r>
      <w:r>
        <w:rPr>
          <w:rFonts w:hint="eastAsia" w:ascii="仿宋" w:hAnsi="仿宋" w:eastAsia="仿宋"/>
          <w:sz w:val="24"/>
        </w:rPr>
        <w:t>个居委的癌症患者</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仿宋" w:hAnsi="仿宋" w:eastAsia="仿宋" w:cs="仿宋"/>
          <w:b/>
          <w:sz w:val="24"/>
          <w:szCs w:val="24"/>
        </w:rPr>
      </w:pPr>
      <w:r>
        <w:rPr>
          <w:rFonts w:hint="eastAsia" w:ascii="仿宋" w:hAnsi="仿宋" w:eastAsia="仿宋" w:cs="仿宋"/>
          <w:b/>
          <w:sz w:val="24"/>
          <w:szCs w:val="24"/>
        </w:rPr>
        <w:t>（三）立项依据</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随着环境污染等客观因素加剧，城市癌症患者日益增加，据不完全统计五里桥街道各类癌症病患者大约数千人，但主动报名参加癌症俱乐部的只有110人，</w:t>
      </w:r>
      <w:r>
        <w:rPr>
          <w:rFonts w:hint="eastAsia" w:ascii="仿宋" w:hAnsi="仿宋" w:eastAsia="仿宋" w:cs="仿宋"/>
          <w:sz w:val="24"/>
          <w:szCs w:val="24"/>
          <w:lang w:val="en-US" w:eastAsia="zh-CN"/>
        </w:rPr>
        <w:t>主要</w:t>
      </w:r>
      <w:r>
        <w:rPr>
          <w:rFonts w:hint="eastAsia" w:ascii="仿宋" w:hAnsi="仿宋" w:eastAsia="仿宋" w:cs="仿宋"/>
          <w:sz w:val="24"/>
          <w:szCs w:val="24"/>
        </w:rPr>
        <w:t>分布在各居委，年龄跨度为40至</w:t>
      </w:r>
      <w:r>
        <w:rPr>
          <w:rFonts w:hint="eastAsia" w:ascii="仿宋" w:hAnsi="仿宋" w:eastAsia="仿宋" w:cs="仿宋"/>
          <w:sz w:val="24"/>
          <w:szCs w:val="24"/>
          <w:lang w:val="en-US" w:eastAsia="zh-CN"/>
        </w:rPr>
        <w:t>80余岁癌症患者</w:t>
      </w:r>
      <w:r>
        <w:rPr>
          <w:rFonts w:hint="eastAsia" w:ascii="仿宋" w:hAnsi="仿宋" w:eastAsia="仿宋" w:cs="仿宋"/>
          <w:sz w:val="24"/>
          <w:szCs w:val="24"/>
        </w:rPr>
        <w:t>，目前人数还在不断增长，一户双癌、一户多癌的家庭也在不断增加。对于</w:t>
      </w:r>
      <w:r>
        <w:rPr>
          <w:rFonts w:hint="eastAsia" w:ascii="仿宋" w:hAnsi="仿宋" w:eastAsia="仿宋" w:cs="仿宋"/>
          <w:sz w:val="24"/>
          <w:szCs w:val="24"/>
          <w:lang w:val="en-US" w:eastAsia="zh-CN"/>
        </w:rPr>
        <w:t>患者而言</w:t>
      </w:r>
      <w:r>
        <w:rPr>
          <w:rFonts w:hint="eastAsia" w:ascii="仿宋" w:hAnsi="仿宋" w:eastAsia="仿宋" w:cs="仿宋"/>
          <w:sz w:val="24"/>
          <w:szCs w:val="24"/>
        </w:rPr>
        <w:t>，无论是生理和心理上都承受了巨大的压力，医疗需求、心理疏导、生活照料、精神慰藉等如何得以满足，已成为一个不容忽视的社会问题</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五里桥街道通过引入社会组织开展“手牵手·心连心”关爱癌症患者公益项目，为癌症患者</w:t>
      </w:r>
      <w:r>
        <w:rPr>
          <w:rFonts w:hint="eastAsia" w:ascii="仿宋" w:hAnsi="仿宋" w:eastAsia="仿宋" w:cs="仿宋"/>
          <w:sz w:val="24"/>
          <w:szCs w:val="24"/>
        </w:rPr>
        <w:t>提供</w:t>
      </w:r>
      <w:r>
        <w:rPr>
          <w:rFonts w:hint="eastAsia" w:ascii="仿宋" w:hAnsi="仿宋" w:eastAsia="仿宋" w:cs="仿宋"/>
          <w:sz w:val="24"/>
          <w:szCs w:val="24"/>
          <w:lang w:val="en-US" w:eastAsia="zh-CN"/>
        </w:rPr>
        <w:t>生理和心理服务</w:t>
      </w:r>
      <w:r>
        <w:rPr>
          <w:rFonts w:hint="eastAsia" w:ascii="仿宋" w:hAnsi="仿宋" w:eastAsia="仿宋" w:cs="仿宋"/>
          <w:sz w:val="24"/>
          <w:szCs w:val="24"/>
        </w:rPr>
        <w:t>，</w:t>
      </w:r>
      <w:r>
        <w:rPr>
          <w:rFonts w:hint="eastAsia" w:ascii="仿宋" w:hAnsi="仿宋" w:eastAsia="仿宋" w:cs="仿宋"/>
          <w:sz w:val="24"/>
          <w:szCs w:val="24"/>
          <w:lang w:val="en-US" w:eastAsia="zh-CN"/>
        </w:rPr>
        <w:t>自我效能提高的同时提升生活质量，融入社区，重新回归正常生活</w:t>
      </w:r>
      <w:r>
        <w:rPr>
          <w:rFonts w:hint="eastAsia" w:ascii="仿宋" w:hAnsi="仿宋" w:eastAsia="仿宋" w:cs="仿宋"/>
          <w:sz w:val="24"/>
          <w:szCs w:val="24"/>
        </w:rPr>
        <w:t>。</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黑体" w:hAnsi="黑体" w:eastAsia="黑体" w:cs="黑体"/>
          <w:sz w:val="24"/>
        </w:rPr>
      </w:pPr>
      <w:r>
        <w:rPr>
          <w:rFonts w:hint="eastAsia" w:ascii="黑体" w:hAnsi="黑体" w:eastAsia="黑体" w:cs="黑体"/>
          <w:sz w:val="24"/>
        </w:rPr>
        <w:t>二、项目标的</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b/>
          <w:bCs/>
          <w:sz w:val="24"/>
          <w:szCs w:val="24"/>
        </w:rPr>
      </w:pPr>
      <w:r>
        <w:rPr>
          <w:rFonts w:hint="eastAsia" w:ascii="仿宋" w:hAnsi="仿宋" w:eastAsia="仿宋" w:cs="仿宋"/>
          <w:b/>
          <w:bCs/>
          <w:sz w:val="24"/>
          <w:szCs w:val="24"/>
        </w:rPr>
        <w:t>（一）、服务内容</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2" w:firstLineChars="200"/>
        <w:jc w:val="left"/>
        <w:textAlignment w:val="auto"/>
        <w:rPr>
          <w:rFonts w:ascii="仿宋" w:hAnsi="仿宋" w:eastAsia="仿宋" w:cs="仿宋"/>
          <w:sz w:val="24"/>
          <w:szCs w:val="24"/>
        </w:rPr>
      </w:pPr>
      <w:r>
        <w:rPr>
          <w:rFonts w:hint="eastAsia" w:ascii="仿宋" w:hAnsi="仿宋" w:eastAsia="仿宋" w:cs="仿宋"/>
          <w:b/>
          <w:bCs/>
          <w:sz w:val="24"/>
          <w:szCs w:val="24"/>
        </w:rPr>
        <w:t xml:space="preserve">1.1 </w:t>
      </w:r>
      <w:r>
        <w:rPr>
          <w:rFonts w:hint="eastAsia" w:ascii="仿宋" w:hAnsi="仿宋" w:eastAsia="仿宋" w:cs="仿宋"/>
          <w:b/>
          <w:bCs/>
          <w:sz w:val="24"/>
          <w:szCs w:val="24"/>
          <w:lang w:val="en-US" w:eastAsia="zh-CN"/>
        </w:rPr>
        <w:t>长三角看发展。</w:t>
      </w:r>
      <w:r>
        <w:rPr>
          <w:rFonts w:hint="eastAsia" w:ascii="仿宋" w:hAnsi="仿宋" w:eastAsia="仿宋" w:cs="仿宋"/>
          <w:sz w:val="24"/>
          <w:szCs w:val="24"/>
          <w:lang w:val="en-US" w:eastAsia="zh-CN"/>
        </w:rPr>
        <w:t>组织外出参观，调养身心，不少于2次，服务对象不少于200人次。</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2" w:firstLineChars="200"/>
        <w:jc w:val="left"/>
        <w:textAlignment w:val="auto"/>
        <w:rPr>
          <w:rFonts w:hint="eastAsia" w:ascii="仿宋" w:hAnsi="仿宋" w:eastAsia="仿宋" w:cs="仿宋"/>
          <w:b w:val="0"/>
          <w:bCs w:val="0"/>
          <w:sz w:val="24"/>
          <w:szCs w:val="24"/>
          <w:lang w:val="en-US" w:eastAsia="zh-CN"/>
        </w:rPr>
      </w:pPr>
      <w:r>
        <w:rPr>
          <w:rFonts w:hint="eastAsia" w:ascii="仿宋" w:hAnsi="仿宋" w:eastAsia="仿宋" w:cs="仿宋"/>
          <w:b/>
          <w:bCs/>
          <w:sz w:val="24"/>
          <w:szCs w:val="24"/>
        </w:rPr>
        <w:t xml:space="preserve">1.2 </w:t>
      </w:r>
      <w:r>
        <w:rPr>
          <w:rFonts w:hint="eastAsia" w:ascii="仿宋" w:hAnsi="仿宋" w:eastAsia="仿宋" w:cs="仿宋"/>
          <w:b/>
          <w:bCs/>
          <w:sz w:val="24"/>
          <w:szCs w:val="24"/>
          <w:lang w:val="en-US" w:eastAsia="zh-CN"/>
        </w:rPr>
        <w:t>知识讲座。</w:t>
      </w:r>
      <w:r>
        <w:rPr>
          <w:rFonts w:hint="eastAsia" w:ascii="仿宋" w:hAnsi="仿宋" w:eastAsia="仿宋" w:cs="仿宋"/>
          <w:b w:val="0"/>
          <w:bCs w:val="0"/>
          <w:sz w:val="24"/>
          <w:szCs w:val="24"/>
        </w:rPr>
        <w:t>开展</w:t>
      </w:r>
      <w:r>
        <w:rPr>
          <w:rFonts w:hint="eastAsia" w:ascii="仿宋" w:hAnsi="仿宋" w:eastAsia="仿宋" w:cs="仿宋"/>
          <w:b w:val="0"/>
          <w:bCs w:val="0"/>
          <w:sz w:val="24"/>
          <w:szCs w:val="24"/>
          <w:lang w:val="en-US" w:eastAsia="zh-CN"/>
        </w:rPr>
        <w:t>形式多样活动，如</w:t>
      </w:r>
      <w:r>
        <w:rPr>
          <w:rFonts w:hint="eastAsia" w:ascii="仿宋" w:hAnsi="仿宋" w:eastAsia="仿宋" w:cs="仿宋"/>
          <w:b w:val="0"/>
          <w:bCs w:val="0"/>
          <w:sz w:val="24"/>
          <w:szCs w:val="24"/>
        </w:rPr>
        <w:t>知识讲座、</w:t>
      </w:r>
      <w:r>
        <w:rPr>
          <w:rFonts w:hint="eastAsia" w:ascii="仿宋" w:hAnsi="仿宋" w:eastAsia="仿宋" w:cs="仿宋"/>
          <w:b w:val="0"/>
          <w:bCs w:val="0"/>
          <w:sz w:val="24"/>
          <w:szCs w:val="24"/>
          <w:lang w:val="en-US" w:eastAsia="zh-CN"/>
        </w:rPr>
        <w:t>文体活动</w:t>
      </w:r>
      <w:r>
        <w:rPr>
          <w:rFonts w:hint="eastAsia" w:ascii="仿宋" w:hAnsi="仿宋" w:eastAsia="仿宋" w:cs="仿宋"/>
          <w:b w:val="0"/>
          <w:bCs w:val="0"/>
          <w:sz w:val="24"/>
          <w:szCs w:val="24"/>
        </w:rPr>
        <w:t>、兴趣班等，了解抗癌知识</w:t>
      </w:r>
      <w:r>
        <w:rPr>
          <w:rFonts w:hint="eastAsia" w:ascii="仿宋" w:hAnsi="仿宋" w:eastAsia="仿宋" w:cs="仿宋"/>
          <w:b w:val="0"/>
          <w:bCs w:val="0"/>
          <w:sz w:val="24"/>
          <w:szCs w:val="24"/>
          <w:lang w:val="en-US" w:eastAsia="zh-CN"/>
        </w:rPr>
        <w:t>同时</w:t>
      </w:r>
      <w:r>
        <w:rPr>
          <w:rFonts w:hint="eastAsia" w:ascii="仿宋" w:hAnsi="仿宋" w:eastAsia="仿宋" w:cs="仿宋"/>
          <w:b w:val="0"/>
          <w:bCs w:val="0"/>
          <w:sz w:val="24"/>
          <w:szCs w:val="24"/>
        </w:rPr>
        <w:t>减轻患者心理压力</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不少于8次，服务对象不少于400人次。</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2" w:firstLineChars="200"/>
        <w:jc w:val="left"/>
        <w:textAlignment w:val="auto"/>
        <w:rPr>
          <w:rFonts w:ascii="仿宋" w:hAnsi="仿宋" w:eastAsia="仿宋" w:cs="仿宋"/>
          <w:sz w:val="24"/>
          <w:szCs w:val="24"/>
        </w:rPr>
      </w:pPr>
      <w:r>
        <w:rPr>
          <w:rFonts w:hint="eastAsia" w:ascii="仿宋" w:hAnsi="仿宋" w:eastAsia="仿宋" w:cs="仿宋"/>
          <w:b/>
          <w:bCs/>
          <w:sz w:val="24"/>
          <w:szCs w:val="24"/>
        </w:rPr>
        <w:t>1.3</w:t>
      </w:r>
      <w:r>
        <w:rPr>
          <w:rFonts w:hint="eastAsia" w:ascii="仿宋" w:hAnsi="仿宋" w:eastAsia="仿宋" w:cs="仿宋"/>
          <w:b/>
          <w:bCs/>
          <w:sz w:val="24"/>
          <w:szCs w:val="24"/>
          <w:lang w:val="en-US" w:eastAsia="zh-CN"/>
        </w:rPr>
        <w:t>健康关爱。</w:t>
      </w:r>
      <w:r>
        <w:rPr>
          <w:rFonts w:hint="eastAsia" w:ascii="仿宋" w:hAnsi="仿宋" w:eastAsia="仿宋" w:cs="仿宋"/>
          <w:sz w:val="24"/>
          <w:szCs w:val="24"/>
        </w:rPr>
        <w:t>上门癌症患者提供家政服务、测量血压、保健按摩、健康生活咨询等。为</w:t>
      </w:r>
      <w:r>
        <w:rPr>
          <w:rFonts w:hint="eastAsia" w:ascii="仿宋" w:hAnsi="仿宋" w:eastAsia="仿宋" w:cs="仿宋"/>
          <w:sz w:val="24"/>
          <w:szCs w:val="24"/>
          <w:lang w:val="en-US" w:eastAsia="zh-CN"/>
        </w:rPr>
        <w:t>不少于50名</w:t>
      </w:r>
      <w:r>
        <w:rPr>
          <w:rFonts w:hint="eastAsia" w:ascii="仿宋" w:hAnsi="仿宋" w:eastAsia="仿宋" w:cs="仿宋"/>
          <w:sz w:val="24"/>
          <w:szCs w:val="24"/>
        </w:rPr>
        <w:t>癌症患者各提供上门服务16次，覆盖800人次。</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b/>
          <w:bCs/>
          <w:sz w:val="24"/>
          <w:szCs w:val="24"/>
        </w:rPr>
      </w:pPr>
      <w:r>
        <w:rPr>
          <w:rFonts w:hint="eastAsia" w:ascii="仿宋" w:hAnsi="仿宋" w:eastAsia="仿宋" w:cs="仿宋"/>
          <w:b/>
          <w:bCs/>
          <w:sz w:val="24"/>
          <w:szCs w:val="24"/>
        </w:rPr>
        <w:t>（二）、组织实施和风险控制要求</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ascii="仿宋" w:hAnsi="仿宋" w:eastAsia="仿宋" w:cs="仿宋"/>
          <w:sz w:val="24"/>
          <w:szCs w:val="24"/>
        </w:rPr>
      </w:pPr>
      <w:r>
        <w:rPr>
          <w:rFonts w:hint="eastAsia" w:ascii="仿宋" w:hAnsi="仿宋" w:eastAsia="仿宋" w:cs="仿宋"/>
          <w:sz w:val="24"/>
          <w:szCs w:val="24"/>
        </w:rPr>
        <w:t>2.1 投标人提供项目实施方案能有序进行，能够合理安排、调整各项活动的实施，并且定期做好项目的评估与优化工作。</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ascii="仿宋" w:hAnsi="仿宋" w:eastAsia="仿宋" w:cs="仿宋"/>
          <w:sz w:val="24"/>
          <w:szCs w:val="24"/>
        </w:rPr>
      </w:pPr>
      <w:r>
        <w:rPr>
          <w:rFonts w:hint="eastAsia" w:ascii="仿宋" w:hAnsi="仿宋" w:eastAsia="仿宋" w:cs="仿宋"/>
          <w:sz w:val="24"/>
          <w:szCs w:val="24"/>
        </w:rPr>
        <w:t>2.2 投标人须提出可行的项目活动计划表。</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ascii="仿宋" w:hAnsi="仿宋" w:eastAsia="仿宋" w:cs="仿宋"/>
          <w:sz w:val="24"/>
          <w:szCs w:val="24"/>
        </w:rPr>
      </w:pPr>
      <w:r>
        <w:rPr>
          <w:rFonts w:hint="eastAsia" w:ascii="仿宋" w:hAnsi="仿宋" w:eastAsia="仿宋" w:cs="仿宋"/>
          <w:sz w:val="24"/>
          <w:szCs w:val="24"/>
        </w:rPr>
        <w:t>2.3 投标人须做好服务对象满意度评估，及时反馈信息，改进服务质量。</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ascii="仿宋" w:hAnsi="仿宋" w:eastAsia="仿宋" w:cs="仿宋"/>
          <w:sz w:val="24"/>
          <w:szCs w:val="24"/>
        </w:rPr>
      </w:pPr>
      <w:r>
        <w:rPr>
          <w:rFonts w:hint="eastAsia" w:ascii="仿宋" w:hAnsi="仿宋" w:eastAsia="仿宋" w:cs="仿宋"/>
          <w:sz w:val="24"/>
          <w:szCs w:val="24"/>
        </w:rPr>
        <w:t>2.4 项目实施过程中，考虑社会组织实际情况，预测可能出现的风险并确定应急方案。</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b/>
          <w:bCs/>
          <w:sz w:val="24"/>
          <w:szCs w:val="24"/>
        </w:rPr>
      </w:pPr>
      <w:r>
        <w:rPr>
          <w:rFonts w:hint="eastAsia" w:ascii="仿宋" w:hAnsi="仿宋" w:eastAsia="仿宋" w:cs="仿宋"/>
          <w:b/>
          <w:bCs/>
          <w:sz w:val="24"/>
          <w:szCs w:val="24"/>
        </w:rPr>
        <w:t>（三）、从业经验和专业能力要求</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rPr>
      </w:pPr>
      <w:r>
        <w:rPr>
          <w:rFonts w:hint="eastAsia" w:ascii="仿宋" w:hAnsi="仿宋" w:eastAsia="仿宋"/>
          <w:sz w:val="24"/>
          <w:lang w:val="en-US" w:eastAsia="zh-CN"/>
        </w:rPr>
        <w:t>3</w:t>
      </w:r>
      <w:r>
        <w:rPr>
          <w:rFonts w:hint="eastAsia" w:ascii="仿宋" w:hAnsi="仿宋" w:eastAsia="仿宋"/>
          <w:sz w:val="24"/>
        </w:rPr>
        <w:t>.1依法登记的社会团体、民办非企业单位和公益性非营利的事业单位。</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rPr>
      </w:pPr>
      <w:r>
        <w:rPr>
          <w:rFonts w:hint="eastAsia" w:ascii="仿宋" w:hAnsi="仿宋" w:eastAsia="仿宋"/>
          <w:sz w:val="24"/>
          <w:lang w:val="en-US" w:eastAsia="zh-CN"/>
        </w:rPr>
        <w:t>3</w:t>
      </w:r>
      <w:r>
        <w:rPr>
          <w:rFonts w:hint="eastAsia" w:ascii="仿宋" w:hAnsi="仿宋" w:eastAsia="仿宋"/>
          <w:sz w:val="24"/>
        </w:rPr>
        <w:t>.2投标人规范化建设评估等级达到4A级及以上。</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rPr>
      </w:pPr>
      <w:r>
        <w:rPr>
          <w:rFonts w:hint="eastAsia" w:ascii="仿宋" w:hAnsi="仿宋" w:eastAsia="仿宋"/>
          <w:sz w:val="24"/>
          <w:lang w:val="en-US" w:eastAsia="zh-CN"/>
        </w:rPr>
        <w:t>3</w:t>
      </w:r>
      <w:r>
        <w:rPr>
          <w:rFonts w:ascii="仿宋" w:hAnsi="仿宋" w:eastAsia="仿宋"/>
          <w:sz w:val="24"/>
        </w:rPr>
        <w:t>.</w:t>
      </w:r>
      <w:r>
        <w:rPr>
          <w:rFonts w:hint="eastAsia" w:ascii="仿宋" w:hAnsi="仿宋" w:eastAsia="仿宋"/>
          <w:sz w:val="24"/>
        </w:rPr>
        <w:t>3投标人所投项目应与其业务范围或组织宗旨相关，有相关项目承接经验。</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56" w:firstLineChars="200"/>
        <w:textAlignment w:val="auto"/>
        <w:rPr>
          <w:rFonts w:ascii="仿宋" w:hAnsi="仿宋" w:eastAsia="仿宋"/>
          <w:w w:val="95"/>
          <w:sz w:val="24"/>
        </w:rPr>
      </w:pPr>
      <w:r>
        <w:rPr>
          <w:rFonts w:hint="eastAsia" w:ascii="仿宋" w:hAnsi="仿宋" w:eastAsia="仿宋"/>
          <w:w w:val="95"/>
          <w:sz w:val="24"/>
          <w:lang w:val="en-US" w:eastAsia="zh-CN"/>
        </w:rPr>
        <w:t>3</w:t>
      </w:r>
      <w:r>
        <w:rPr>
          <w:rFonts w:ascii="仿宋" w:hAnsi="仿宋" w:eastAsia="仿宋"/>
          <w:w w:val="95"/>
          <w:sz w:val="24"/>
        </w:rPr>
        <w:t>.4</w:t>
      </w:r>
      <w:r>
        <w:rPr>
          <w:rFonts w:hint="eastAsia" w:ascii="仿宋" w:hAnsi="仿宋" w:eastAsia="仿宋"/>
          <w:w w:val="95"/>
          <w:sz w:val="24"/>
        </w:rPr>
        <w:t>投标人拥有具备护理、心理等相关执业资格及高校专家组成的需求评估团队。</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cs="仿宋"/>
          <w:sz w:val="24"/>
          <w:szCs w:val="24"/>
        </w:rPr>
      </w:pPr>
      <w:r>
        <w:rPr>
          <w:rFonts w:hint="eastAsia" w:ascii="仿宋" w:hAnsi="仿宋" w:eastAsia="仿宋"/>
          <w:sz w:val="24"/>
          <w:lang w:val="en-US" w:eastAsia="zh-CN"/>
        </w:rPr>
        <w:t>3</w:t>
      </w:r>
      <w:r>
        <w:rPr>
          <w:rFonts w:ascii="仿宋" w:hAnsi="仿宋" w:eastAsia="仿宋"/>
          <w:sz w:val="24"/>
        </w:rPr>
        <w:t>.5</w:t>
      </w:r>
      <w:r>
        <w:rPr>
          <w:rFonts w:hint="eastAsia" w:ascii="仿宋" w:hAnsi="仿宋" w:eastAsia="仿宋"/>
          <w:sz w:val="24"/>
        </w:rPr>
        <w:t>投标人拥有具备相关专业资格的志愿者团队。</w:t>
      </w:r>
      <w:r>
        <w:rPr>
          <w:rFonts w:hint="eastAsia" w:ascii="仿宋" w:hAnsi="仿宋" w:eastAsia="仿宋" w:cs="仿宋"/>
          <w:sz w:val="24"/>
          <w:szCs w:val="24"/>
        </w:rPr>
        <w:t xml:space="preserve"> </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b/>
          <w:bCs/>
          <w:color w:val="333333"/>
          <w:sz w:val="24"/>
          <w:szCs w:val="24"/>
        </w:rPr>
      </w:pPr>
      <w:r>
        <w:rPr>
          <w:rFonts w:hint="eastAsia" w:ascii="仿宋" w:hAnsi="仿宋" w:eastAsia="仿宋" w:cs="仿宋"/>
          <w:b/>
          <w:bCs/>
          <w:color w:val="333333"/>
          <w:sz w:val="24"/>
          <w:szCs w:val="24"/>
        </w:rPr>
        <w:t>（四）、项目监测要求</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cs="仿宋"/>
          <w:sz w:val="24"/>
          <w:szCs w:val="24"/>
        </w:rPr>
      </w:pPr>
      <w:r>
        <w:rPr>
          <w:rFonts w:hint="eastAsia" w:ascii="仿宋" w:hAnsi="仿宋" w:eastAsia="仿宋" w:cs="仿宋"/>
          <w:sz w:val="24"/>
          <w:szCs w:val="24"/>
        </w:rPr>
        <w:t>项目执行过程中投标方须接受需求方和招标代理人的监测，按照要求向需求方公开项目进展情况，并附活动信息、照片等相关材料。</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b/>
          <w:bCs/>
          <w:sz w:val="24"/>
          <w:szCs w:val="24"/>
        </w:rPr>
      </w:pPr>
      <w:r>
        <w:rPr>
          <w:rFonts w:hint="eastAsia" w:ascii="仿宋" w:hAnsi="仿宋" w:eastAsia="仿宋" w:cs="仿宋"/>
          <w:b/>
          <w:bCs/>
          <w:sz w:val="24"/>
          <w:szCs w:val="24"/>
        </w:rPr>
        <w:t>（五）、项目结案要求</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sz w:val="24"/>
          <w:szCs w:val="24"/>
        </w:rPr>
      </w:pPr>
      <w:r>
        <w:rPr>
          <w:rFonts w:hint="eastAsia" w:ascii="仿宋" w:hAnsi="仿宋" w:eastAsia="仿宋" w:cs="仿宋"/>
          <w:b/>
          <w:bCs/>
          <w:sz w:val="24"/>
          <w:szCs w:val="24"/>
        </w:rPr>
        <w:t xml:space="preserve">   </w:t>
      </w:r>
      <w:r>
        <w:rPr>
          <w:rFonts w:hint="eastAsia" w:ascii="仿宋" w:hAnsi="仿宋" w:eastAsia="仿宋" w:cs="仿宋"/>
          <w:sz w:val="24"/>
          <w:szCs w:val="24"/>
        </w:rPr>
        <w:t>项目结束后投标机构须提供台账、项目决算表、项目总结报告等相关资料，并接受终期评估。</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b/>
          <w:bCs/>
          <w:sz w:val="24"/>
          <w:szCs w:val="24"/>
        </w:rPr>
      </w:pPr>
      <w:r>
        <w:rPr>
          <w:rFonts w:hint="eastAsia" w:ascii="仿宋" w:hAnsi="仿宋" w:eastAsia="仿宋" w:cs="仿宋"/>
          <w:b/>
          <w:bCs/>
          <w:sz w:val="24"/>
          <w:szCs w:val="24"/>
        </w:rPr>
        <w:t>（六）、招标机构责任</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sz w:val="24"/>
          <w:szCs w:val="24"/>
        </w:rPr>
      </w:pPr>
      <w:r>
        <w:rPr>
          <w:rFonts w:hint="eastAsia" w:ascii="仿宋" w:hAnsi="仿宋" w:eastAsia="仿宋" w:cs="仿宋"/>
          <w:sz w:val="24"/>
          <w:szCs w:val="24"/>
        </w:rPr>
        <w:t xml:space="preserve">   协调落实活动场地，提供相关外部支持。</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仿宋" w:hAnsi="仿宋" w:eastAsia="仿宋" w:cs="仿宋"/>
          <w:b/>
          <w:bCs/>
          <w:sz w:val="24"/>
          <w:szCs w:val="24"/>
        </w:rPr>
      </w:pPr>
      <w:r>
        <w:rPr>
          <w:rFonts w:hint="eastAsia" w:ascii="仿宋" w:hAnsi="仿宋" w:eastAsia="仿宋" w:cs="仿宋"/>
          <w:b/>
          <w:bCs/>
          <w:sz w:val="24"/>
          <w:szCs w:val="24"/>
        </w:rPr>
        <w:t>（七）、说明</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仿宋" w:hAnsi="仿宋" w:eastAsia="仿宋" w:cs="仿宋"/>
          <w:sz w:val="24"/>
          <w:szCs w:val="24"/>
        </w:rPr>
      </w:pPr>
      <w:r>
        <w:rPr>
          <w:rFonts w:hint="eastAsia" w:ascii="仿宋" w:hAnsi="仿宋" w:eastAsia="仿宋" w:cs="仿宋"/>
          <w:sz w:val="24"/>
          <w:szCs w:val="24"/>
        </w:rPr>
        <w:t xml:space="preserve">   为保证公平性，投标人认为上述指标存在排他性或歧视性条款，可以向招标代理人提出书面质疑并附相关证据。</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360" w:firstLineChars="150"/>
        <w:textAlignment w:val="auto"/>
        <w:rPr>
          <w:rFonts w:hint="eastAsia" w:ascii="仿宋" w:hAnsi="仿宋" w:eastAsia="仿宋" w:cs="仿宋"/>
          <w:sz w:val="24"/>
          <w:szCs w:val="24"/>
          <w:lang w:eastAsia="zh-CN"/>
        </w:rPr>
      </w:pPr>
      <w:r>
        <w:rPr>
          <w:rFonts w:hint="eastAsia" w:ascii="仿宋" w:hAnsi="仿宋" w:eastAsia="仿宋" w:cs="仿宋"/>
          <w:sz w:val="24"/>
          <w:szCs w:val="24"/>
        </w:rPr>
        <w:t>如无特别说明，每个项目只允许有一个报价，任何有选择的报价将不予接受</w:t>
      </w:r>
      <w:r>
        <w:rPr>
          <w:rFonts w:hint="eastAsia" w:ascii="仿宋" w:hAnsi="仿宋" w:eastAsia="仿宋" w:cs="仿宋"/>
          <w:sz w:val="24"/>
          <w:szCs w:val="24"/>
          <w:lang w:eastAsia="zh-CN"/>
        </w:rPr>
        <w:t>。</w:t>
      </w:r>
    </w:p>
    <w:p>
      <w:pPr>
        <w:keepNext w:val="0"/>
        <w:keepLines w:val="0"/>
        <w:pageBreakBefore w:val="0"/>
        <w:widowControl/>
        <w:shd w:val="clear" w:color="auto" w:fill="FFFFFF"/>
        <w:kinsoku/>
        <w:wordWrap/>
        <w:overflowPunct/>
        <w:topLinePunct w:val="0"/>
        <w:autoSpaceDE/>
        <w:autoSpaceDN/>
        <w:bidi w:val="0"/>
        <w:adjustRightInd/>
        <w:snapToGrid/>
        <w:spacing w:line="360" w:lineRule="atLeast"/>
        <w:jc w:val="left"/>
        <w:textAlignment w:val="baseline"/>
        <w:outlineLvl w:val="9"/>
        <w:rPr>
          <w:rFonts w:ascii="微软雅黑" w:hAnsi="微软雅黑" w:cs="宋体"/>
          <w:color w:val="919191"/>
          <w:kern w:val="0"/>
          <w:szCs w:val="21"/>
        </w:rPr>
      </w:pPr>
      <w:r>
        <w:rPr>
          <w:rFonts w:hint="eastAsia" w:ascii="微软雅黑" w:hAnsi="微软雅黑" w:eastAsia="微软雅黑" w:cs="宋体"/>
          <w:color w:val="919191"/>
          <w:kern w:val="0"/>
          <w:sz w:val="24"/>
          <w:szCs w:val="24"/>
        </w:rPr>
        <w:t>                          </w:t>
      </w:r>
    </w:p>
    <w:p>
      <w:pPr>
        <w:widowControl/>
        <w:shd w:val="clear" w:color="auto" w:fill="FFFFFF"/>
        <w:spacing w:line="360" w:lineRule="atLeast"/>
        <w:jc w:val="left"/>
        <w:textAlignment w:val="baseline"/>
        <w:rPr>
          <w:rFonts w:ascii="微软雅黑" w:hAnsi="微软雅黑" w:cs="宋体"/>
          <w:color w:val="919191"/>
          <w:kern w:val="0"/>
          <w:szCs w:val="21"/>
        </w:rPr>
      </w:pPr>
    </w:p>
    <w:p>
      <w:pPr>
        <w:widowControl/>
        <w:shd w:val="clear" w:color="auto" w:fill="FFFFFF"/>
        <w:spacing w:line="360" w:lineRule="atLeast"/>
        <w:jc w:val="left"/>
        <w:textAlignment w:val="baseline"/>
        <w:rPr>
          <w:rFonts w:hint="eastAsia" w:eastAsiaTheme="minorEastAsia"/>
          <w:lang w:eastAsia="zh-CN"/>
        </w:rPr>
      </w:pPr>
      <w:r>
        <w:rPr>
          <w:rFonts w:hint="eastAsia" w:ascii="微软雅黑" w:hAnsi="微软雅黑" w:eastAsia="微软雅黑" w:cs="宋体"/>
          <w:color w:val="919191"/>
          <w:kern w:val="0"/>
          <w:sz w:val="24"/>
          <w:szCs w:val="24"/>
        </w:rPr>
        <w:t>                                             </w:t>
      </w:r>
    </w:p>
    <w:sectPr>
      <w:footerReference r:id="rId4"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altName w:val="微软雅黑"/>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rPr>
                            <w:fldChar w:fldCharType="begin"/>
                          </w:r>
                          <w:r>
                            <w:rPr>
                              <w:rFonts w:hint="eastAsia"/>
                            </w:rPr>
                            <w:instrText xml:space="preserve"> PAGE  \* MERGEFORMAT </w:instrText>
                          </w:r>
                          <w:r>
                            <w:rPr>
                              <w:rFonts w:hint="eastAsia"/>
                            </w:rPr>
                            <w:fldChar w:fldCharType="separate"/>
                          </w:r>
                          <w:r>
                            <w:t>- 4 -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3"/>
                    </w:pPr>
                    <w:r>
                      <w:rPr>
                        <w:rFonts w:hint="eastAsia"/>
                      </w:rPr>
                      <w:fldChar w:fldCharType="begin"/>
                    </w:r>
                    <w:r>
                      <w:rPr>
                        <w:rFonts w:hint="eastAsia"/>
                      </w:rPr>
                      <w:instrText xml:space="preserve"> PAGE  \* MERGEFORMAT </w:instrText>
                    </w:r>
                    <w:r>
                      <w:rPr>
                        <w:rFonts w:hint="eastAsia"/>
                      </w:rPr>
                      <w:fldChar w:fldCharType="separate"/>
                    </w:r>
                    <w:r>
                      <w:t>- 4 -</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9F8D31"/>
    <w:multiLevelType w:val="singleLevel"/>
    <w:tmpl w:val="869F8D31"/>
    <w:lvl w:ilvl="0" w:tentative="0">
      <w:start w:val="1"/>
      <w:numFmt w:val="chineseCounting"/>
      <w:suff w:val="nothing"/>
      <w:lvlText w:val="%1、"/>
      <w:lvlJc w:val="left"/>
      <w:rPr>
        <w:rFonts w:hint="eastAsia"/>
      </w:rPr>
    </w:lvl>
  </w:abstractNum>
  <w:abstractNum w:abstractNumId="1">
    <w:nsid w:val="0000000A"/>
    <w:multiLevelType w:val="multilevel"/>
    <w:tmpl w:val="0000000A"/>
    <w:lvl w:ilvl="0" w:tentative="0">
      <w:start w:val="8"/>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0000000B"/>
    <w:multiLevelType w:val="multilevel"/>
    <w:tmpl w:val="0000000B"/>
    <w:lvl w:ilvl="0" w:tentative="0">
      <w:start w:val="15"/>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0000000C"/>
    <w:multiLevelType w:val="multilevel"/>
    <w:tmpl w:val="0000000C"/>
    <w:lvl w:ilvl="0" w:tentative="0">
      <w:start w:val="17"/>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4">
    <w:nsid w:val="0000000D"/>
    <w:multiLevelType w:val="multilevel"/>
    <w:tmpl w:val="0000000D"/>
    <w:lvl w:ilvl="0" w:tentative="0">
      <w:start w:val="12"/>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5">
    <w:nsid w:val="551503D6"/>
    <w:multiLevelType w:val="singleLevel"/>
    <w:tmpl w:val="551503D6"/>
    <w:lvl w:ilvl="0" w:tentative="0">
      <w:start w:val="1"/>
      <w:numFmt w:val="chineseCounting"/>
      <w:suff w:val="nothing"/>
      <w:lvlText w:val="（%1）"/>
      <w:lvlJc w:val="left"/>
    </w:lvl>
  </w:abstractNum>
  <w:num w:numId="1">
    <w:abstractNumId w:val="0"/>
  </w:num>
  <w:num w:numId="2">
    <w:abstractNumId w:val="1"/>
  </w:num>
  <w:num w:numId="3">
    <w:abstractNumId w:val="4"/>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277A99"/>
    <w:rsid w:val="0010355C"/>
    <w:rsid w:val="001119FB"/>
    <w:rsid w:val="003554E6"/>
    <w:rsid w:val="009F14B4"/>
    <w:rsid w:val="00A21460"/>
    <w:rsid w:val="00C1002C"/>
    <w:rsid w:val="00D17411"/>
    <w:rsid w:val="00E16FB6"/>
    <w:rsid w:val="05B12171"/>
    <w:rsid w:val="18091E39"/>
    <w:rsid w:val="1AD733EE"/>
    <w:rsid w:val="1AFC2D57"/>
    <w:rsid w:val="1E746648"/>
    <w:rsid w:val="24560396"/>
    <w:rsid w:val="2B2F7BEA"/>
    <w:rsid w:val="3AA10088"/>
    <w:rsid w:val="45321345"/>
    <w:rsid w:val="518F6450"/>
    <w:rsid w:val="56D64810"/>
    <w:rsid w:val="59F621AF"/>
    <w:rsid w:val="5AB9182F"/>
    <w:rsid w:val="5D277A99"/>
    <w:rsid w:val="6017345D"/>
    <w:rsid w:val="606C0321"/>
    <w:rsid w:val="71B12B5A"/>
    <w:rsid w:val="792C37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5">
    <w:name w:val="Body Text 2"/>
    <w:basedOn w:val="1"/>
    <w:qFormat/>
    <w:uiPriority w:val="0"/>
    <w:pPr>
      <w:ind w:firstLine="570"/>
    </w:pPr>
    <w:rPr>
      <w:rFonts w:hint="eastAsia" w:ascii="宋体"/>
      <w:sz w:val="28"/>
    </w:rPr>
  </w:style>
  <w:style w:type="paragraph" w:styleId="6">
    <w:name w:val="Normal (Web)"/>
    <w:basedOn w:val="1"/>
    <w:qFormat/>
    <w:uiPriority w:val="0"/>
    <w:pPr>
      <w:widowControl/>
      <w:spacing w:before="100" w:beforeAutospacing="1" w:after="100" w:afterAutospacing="1"/>
      <w:jc w:val="left"/>
    </w:pPr>
    <w:rPr>
      <w:rFonts w:hint="eastAsia" w:ascii="宋体" w:hAnsi="宋体"/>
      <w:sz w:val="24"/>
    </w:rPr>
  </w:style>
  <w:style w:type="paragraph" w:styleId="7">
    <w:name w:val="Title"/>
    <w:basedOn w:val="1"/>
    <w:qFormat/>
    <w:uiPriority w:val="0"/>
    <w:pPr>
      <w:spacing w:before="240" w:after="60"/>
      <w:jc w:val="center"/>
      <w:outlineLvl w:val="0"/>
    </w:pPr>
    <w:rPr>
      <w:rFonts w:ascii="Arial" w:hAnsi="Arial"/>
      <w:b/>
      <w:sz w:val="32"/>
    </w:rPr>
  </w:style>
  <w:style w:type="character" w:styleId="9">
    <w:name w:val="Strong"/>
    <w:qFormat/>
    <w:uiPriority w:val="0"/>
    <w:rPr>
      <w:rFonts w:hint="default"/>
      <w:b/>
      <w:sz w:val="24"/>
    </w:rPr>
  </w:style>
  <w:style w:type="character" w:styleId="10">
    <w:name w:val="Hyperlink"/>
    <w:basedOn w:val="8"/>
    <w:qFormat/>
    <w:uiPriority w:val="0"/>
    <w:rPr>
      <w:color w:val="0000FF"/>
      <w:u w:val="single"/>
    </w:rPr>
  </w:style>
  <w:style w:type="paragraph" w:customStyle="1" w:styleId="12">
    <w:name w:val="目录样式"/>
    <w:basedOn w:val="7"/>
    <w:qFormat/>
    <w:uiPriority w:val="0"/>
    <w:rPr>
      <w:rFonts w:eastAsia="方正小标宋简体"/>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317</Words>
  <Characters>1810</Characters>
  <Lines>15</Lines>
  <Paragraphs>4</Paragraphs>
  <TotalTime>0</TotalTime>
  <ScaleCrop>false</ScaleCrop>
  <LinksUpToDate>false</LinksUpToDate>
  <CharactersWithSpaces>2123</CharactersWithSpaces>
  <Application>WPS Office_10.1.0.7311_F1E327BC-269C-435d-A152-05C5408002CA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2018-03-16T01:45:00Z</dcterms:created>
  <dc:creator>YQQ1393988783</dc:creator>
  <cp:lastModifiedBy>YQQ1393988783</cp:lastModifiedBy>
  <cp:lastPrinted>2018-04-16T04:29:00Z</cp:lastPrinted>
  <dcterms:modified xsi:type="dcterms:W3CDTF">2018-04-26T03:39:45Z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2052-10.1.0.7311</vt:lpwstr>
  </property>
</Properties>
</file>